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Lines="0" w:afterLines="0" w:line="500" w:lineRule="exact"/>
        <w:ind w:left="0"/>
        <w:jc w:val="center"/>
        <w:outlineLvl w:val="0"/>
        <w:rPr>
          <w:rFonts w:hint="eastAsia" w:ascii="方正小标宋_GBK" w:hAnsi="方正小标宋_GBK" w:eastAsia="方正小标宋_GBK" w:cs="方正小标宋_GBK"/>
          <w:sz w:val="44"/>
          <w:szCs w:val="44"/>
        </w:rPr>
      </w:pPr>
      <w:bookmarkStart w:id="0" w:name="_Toc29304"/>
    </w:p>
    <w:p>
      <w:pPr>
        <w:pStyle w:val="6"/>
        <w:spacing w:beforeLines="0" w:afterLines="0" w:line="500" w:lineRule="exact"/>
        <w:ind w:left="0"/>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一、</w:t>
      </w:r>
      <w:r>
        <w:rPr>
          <w:rFonts w:hint="eastAsia" w:ascii="方正小标宋_GBK" w:hAnsi="方正小标宋_GBK" w:eastAsia="方正小标宋_GBK" w:cs="方正小标宋_GBK"/>
          <w:sz w:val="44"/>
          <w:szCs w:val="44"/>
        </w:rPr>
        <w:t>行政处罚流程</w:t>
      </w:r>
      <w:bookmarkEnd w:id="0"/>
    </w:p>
    <w:p>
      <w:pPr>
        <w:rPr>
          <w:rFonts w:hint="eastAsia"/>
        </w:rPr>
      </w:pPr>
    </w:p>
    <w:p>
      <w:pPr>
        <w:pStyle w:val="6"/>
        <w:spacing w:beforeLines="0" w:afterLines="0" w:line="500" w:lineRule="exact"/>
        <w:ind w:left="0"/>
        <w:outlineLvl w:val="0"/>
        <w:rPr>
          <w:rFonts w:hint="eastAsia" w:eastAsia="黑体"/>
          <w:szCs w:val="32"/>
          <w:lang w:val="en-US" w:eastAsia="zh-CN"/>
        </w:rPr>
      </w:pPr>
      <w:bookmarkStart w:id="1" w:name="_Toc12516"/>
      <w:r>
        <w:rPr>
          <w:rFonts w:hint="eastAsia"/>
          <w:szCs w:val="32"/>
          <w:lang w:val="en" w:eastAsia="zh-CN"/>
        </w:rPr>
        <w:t>（一）</w:t>
      </w:r>
      <w:r>
        <w:rPr>
          <w:rFonts w:hint="eastAsia"/>
          <w:szCs w:val="32"/>
        </w:rPr>
        <w:t>行政处罚简易程序</w:t>
      </w:r>
      <w:r>
        <w:rPr>
          <w:rFonts w:hint="eastAsia"/>
          <w:szCs w:val="32"/>
          <w:lang w:eastAsia="zh-CN"/>
        </w:rPr>
        <w:t>流程</w:t>
      </w:r>
      <w:bookmarkEnd w:id="1"/>
    </w:p>
    <w:p>
      <w:pPr>
        <w:pStyle w:val="6"/>
        <w:keepNext w:val="0"/>
        <w:keepLines w:val="0"/>
        <w:pageBreakBefore w:val="0"/>
        <w:widowControl/>
        <w:kinsoku/>
        <w:wordWrap/>
        <w:overflowPunct/>
        <w:topLinePunct w:val="0"/>
        <w:autoSpaceDE/>
        <w:autoSpaceDN/>
        <w:bidi w:val="0"/>
        <w:adjustRightInd/>
        <w:snapToGrid/>
        <w:spacing w:beforeLines="0" w:afterLines="0" w:line="500" w:lineRule="exact"/>
        <w:ind w:left="0" w:firstLine="0" w:firstLineChars="0"/>
        <w:jc w:val="center"/>
        <w:textAlignment w:val="auto"/>
        <w:outlineLvl w:val="9"/>
        <w:rPr>
          <w:rFonts w:hint="eastAsia"/>
          <w:sz w:val="24"/>
          <w:szCs w:val="24"/>
          <w:lang w:val="en-US" w:eastAsia="zh-CN"/>
        </w:rPr>
      </w:pPr>
    </w:p>
    <w:p>
      <w:pPr>
        <w:pStyle w:val="6"/>
        <w:keepNext w:val="0"/>
        <w:keepLines w:val="0"/>
        <w:pageBreakBefore w:val="0"/>
        <w:widowControl/>
        <w:numPr>
          <w:numId w:val="0"/>
        </w:numPr>
        <w:kinsoku/>
        <w:wordWrap/>
        <w:overflowPunct/>
        <w:topLinePunct w:val="0"/>
        <w:autoSpaceDE/>
        <w:autoSpaceDN/>
        <w:bidi w:val="0"/>
        <w:adjustRightInd/>
        <w:snapToGrid/>
        <w:spacing w:beforeLines="0" w:afterLines="0" w:line="500" w:lineRule="exact"/>
        <w:ind w:leftChars="0"/>
        <w:jc w:val="center"/>
        <w:textAlignment w:val="auto"/>
        <w:outlineLvl w:val="9"/>
        <w:rPr>
          <w:rFonts w:hint="eastAsia"/>
          <w:sz w:val="24"/>
          <w:szCs w:val="24"/>
        </w:rPr>
      </w:pPr>
      <w:r>
        <w:rPr>
          <w:rFonts w:hint="eastAsia"/>
          <w:sz w:val="24"/>
          <w:szCs w:val="24"/>
          <w:lang w:val="en-US" w:eastAsia="zh-CN"/>
        </w:rPr>
        <w:t>1.</w:t>
      </w:r>
      <w:r>
        <w:rPr>
          <w:rFonts w:hint="eastAsia"/>
          <w:sz w:val="24"/>
          <w:szCs w:val="24"/>
        </w:rPr>
        <w:t>行政处罚简易程序流程图</w:t>
      </w:r>
    </w:p>
    <w:p>
      <w:pPr>
        <w:numPr>
          <w:numId w:val="0"/>
        </w:numPr>
      </w:pPr>
    </w:p>
    <w:p>
      <w:pPr>
        <w:pStyle w:val="7"/>
        <w:ind w:left="-567" w:leftChars="-270" w:firstLine="0" w:firstLineChars="0"/>
        <w:jc w:val="center"/>
        <w:rPr>
          <w:sz w:val="24"/>
          <w:szCs w:val="24"/>
        </w:rPr>
      </w:pPr>
      <w:r>
        <w:object>
          <v:shape id="_x0000_i1025" o:spt="75" type="#_x0000_t75" style="height:233.8pt;width:463.65pt;" o:ole="t" filled="f" o:preferrelative="t" stroked="f" coordsize="21600,21600">
            <v:path/>
            <v:fill on="f" focussize="0,0"/>
            <v:stroke on="f"/>
            <v:imagedata r:id="rId7" o:title=""/>
            <o:lock v:ext="edit" aspectratio="t"/>
            <w10:wrap type="none"/>
            <w10:anchorlock/>
          </v:shape>
          <o:OLEObject Type="Embed" ProgID="Visio.Drawing.15" ShapeID="_x0000_i1025" DrawAspect="Content" ObjectID="_1468075725" r:id="rId6">
            <o:LockedField>false</o:LockedField>
          </o:OLEObject>
        </w:object>
      </w:r>
    </w:p>
    <w:p>
      <w:pPr>
        <w:pStyle w:val="6"/>
        <w:spacing w:beforeLines="0" w:afterLines="0" w:line="500" w:lineRule="exact"/>
        <w:ind w:left="0" w:firstLine="480" w:firstLineChars="200"/>
        <w:jc w:val="center"/>
        <w:outlineLvl w:val="1"/>
        <w:rPr>
          <w:rFonts w:hint="eastAsia"/>
          <w:sz w:val="24"/>
          <w:szCs w:val="24"/>
          <w:lang w:val="en-US" w:eastAsia="zh-CN"/>
        </w:rPr>
      </w:pPr>
    </w:p>
    <w:p>
      <w:pPr>
        <w:pStyle w:val="6"/>
        <w:keepNext w:val="0"/>
        <w:keepLines w:val="0"/>
        <w:pageBreakBefore w:val="0"/>
        <w:widowControl/>
        <w:kinsoku/>
        <w:wordWrap/>
        <w:overflowPunct/>
        <w:topLinePunct w:val="0"/>
        <w:autoSpaceDE/>
        <w:autoSpaceDN/>
        <w:bidi w:val="0"/>
        <w:adjustRightInd/>
        <w:snapToGrid/>
        <w:spacing w:beforeLines="0" w:afterLines="0" w:line="500" w:lineRule="exact"/>
        <w:ind w:left="0" w:firstLine="0" w:firstLineChars="0"/>
        <w:jc w:val="center"/>
        <w:textAlignment w:val="auto"/>
        <w:outlineLvl w:val="9"/>
        <w:rPr>
          <w:rFonts w:hint="eastAsia"/>
          <w:sz w:val="24"/>
          <w:szCs w:val="24"/>
        </w:rPr>
      </w:pPr>
      <w:r>
        <w:rPr>
          <w:rFonts w:hint="eastAsia"/>
          <w:sz w:val="24"/>
          <w:szCs w:val="24"/>
          <w:lang w:val="en-US" w:eastAsia="zh-CN"/>
        </w:rPr>
        <w:t>2.</w:t>
      </w:r>
      <w:r>
        <w:rPr>
          <w:rFonts w:hint="eastAsia"/>
          <w:sz w:val="24"/>
          <w:szCs w:val="24"/>
        </w:rPr>
        <w:t>行政处罚简易程序流程描述</w:t>
      </w:r>
    </w:p>
    <w:p/>
    <w:tbl>
      <w:tblPr>
        <w:tblStyle w:val="5"/>
        <w:tblW w:w="9301"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43"/>
        <w:gridCol w:w="1725"/>
        <w:gridCol w:w="68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43"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序号</w:t>
            </w:r>
          </w:p>
        </w:tc>
        <w:tc>
          <w:tcPr>
            <w:tcW w:w="1725"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流程环节名称</w:t>
            </w:r>
          </w:p>
        </w:tc>
        <w:tc>
          <w:tcPr>
            <w:tcW w:w="6833"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43"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172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立案</w:t>
            </w:r>
          </w:p>
        </w:tc>
        <w:tc>
          <w:tcPr>
            <w:tcW w:w="6833"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对现场确定有违法事实的活动进行立案。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43"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w:t>
            </w:r>
          </w:p>
        </w:tc>
        <w:tc>
          <w:tcPr>
            <w:tcW w:w="172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调查取证</w:t>
            </w:r>
          </w:p>
        </w:tc>
        <w:tc>
          <w:tcPr>
            <w:tcW w:w="6833"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通过现场调查、询问等方式进行调查取证。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43"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w:t>
            </w:r>
          </w:p>
        </w:tc>
        <w:tc>
          <w:tcPr>
            <w:tcW w:w="172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告知</w:t>
            </w:r>
          </w:p>
        </w:tc>
        <w:tc>
          <w:tcPr>
            <w:tcW w:w="6833"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告知当事人拟作出的行政处罚内容及事实、理由、依据、陈述权、申辩权；听取当事人陈述、申辩。</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43"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4</w:t>
            </w:r>
          </w:p>
        </w:tc>
        <w:tc>
          <w:tcPr>
            <w:tcW w:w="172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决定</w:t>
            </w:r>
          </w:p>
        </w:tc>
        <w:tc>
          <w:tcPr>
            <w:tcW w:w="6833"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结合审查结果做出最后的决定。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43"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5</w:t>
            </w:r>
          </w:p>
        </w:tc>
        <w:tc>
          <w:tcPr>
            <w:tcW w:w="172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执行</w:t>
            </w:r>
          </w:p>
        </w:tc>
        <w:tc>
          <w:tcPr>
            <w:tcW w:w="6833"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根据决定书的内容，相关部门和工作人员对当事人执行处罚。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743"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6</w:t>
            </w:r>
          </w:p>
        </w:tc>
        <w:tc>
          <w:tcPr>
            <w:tcW w:w="172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结案</w:t>
            </w:r>
          </w:p>
        </w:tc>
        <w:tc>
          <w:tcPr>
            <w:tcW w:w="6833"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案件结束，整理材料归档。</w:t>
            </w:r>
          </w:p>
        </w:tc>
      </w:tr>
    </w:tbl>
    <w:p>
      <w:pPr>
        <w:pStyle w:val="7"/>
        <w:spacing w:line="500" w:lineRule="exact"/>
        <w:ind w:firstLine="0" w:firstLineChars="0"/>
        <w:jc w:val="center"/>
        <w:rPr>
          <w:rFonts w:hint="eastAsia" w:ascii="黑体" w:eastAsia="黑体"/>
          <w:sz w:val="24"/>
          <w:szCs w:val="24"/>
          <w:lang w:val="en-US" w:eastAsia="zh-CN"/>
        </w:rPr>
      </w:pPr>
    </w:p>
    <w:p>
      <w:pPr>
        <w:pStyle w:val="6"/>
        <w:spacing w:beforeLines="0" w:afterLines="0" w:line="500" w:lineRule="exact"/>
        <w:ind w:left="0"/>
        <w:outlineLvl w:val="0"/>
        <w:rPr>
          <w:rFonts w:hint="eastAsia"/>
          <w:szCs w:val="32"/>
          <w:lang w:eastAsia="zh-CN"/>
        </w:rPr>
      </w:pPr>
      <w:bookmarkStart w:id="2" w:name="_Toc32378"/>
      <w:bookmarkStart w:id="3" w:name="_Toc516243086"/>
      <w:bookmarkStart w:id="4" w:name="_Toc511050152"/>
    </w:p>
    <w:p>
      <w:pPr>
        <w:pStyle w:val="6"/>
        <w:spacing w:beforeLines="0" w:afterLines="0" w:line="500" w:lineRule="exact"/>
        <w:ind w:left="0"/>
        <w:outlineLvl w:val="0"/>
        <w:rPr>
          <w:rFonts w:hint="eastAsia" w:eastAsia="黑体"/>
          <w:szCs w:val="32"/>
          <w:lang w:eastAsia="zh-CN"/>
        </w:rPr>
      </w:pPr>
      <w:r>
        <w:rPr>
          <w:rFonts w:hint="eastAsia"/>
          <w:szCs w:val="32"/>
          <w:lang w:eastAsia="zh-CN"/>
        </w:rPr>
        <w:t>（二）</w:t>
      </w:r>
      <w:r>
        <w:rPr>
          <w:rFonts w:hint="eastAsia"/>
          <w:szCs w:val="32"/>
        </w:rPr>
        <w:t>行政处罚普通程序</w:t>
      </w:r>
      <w:r>
        <w:rPr>
          <w:rFonts w:hint="eastAsia"/>
          <w:szCs w:val="32"/>
          <w:lang w:eastAsia="zh-CN"/>
        </w:rPr>
        <w:t>流程</w:t>
      </w:r>
      <w:bookmarkEnd w:id="2"/>
    </w:p>
    <w:p>
      <w:pPr>
        <w:pStyle w:val="7"/>
        <w:spacing w:line="500" w:lineRule="exact"/>
        <w:ind w:left="-567" w:leftChars="-270" w:firstLine="0" w:firstLineChars="0"/>
        <w:jc w:val="center"/>
        <w:rPr>
          <w:rFonts w:hint="eastAsia" w:ascii="黑体" w:eastAsia="黑体"/>
          <w:sz w:val="24"/>
          <w:szCs w:val="24"/>
          <w:lang w:val="en-US" w:eastAsia="zh-CN"/>
        </w:rPr>
      </w:pPr>
    </w:p>
    <w:p>
      <w:pPr>
        <w:pStyle w:val="7"/>
        <w:numPr>
          <w:numId w:val="0"/>
        </w:numPr>
        <w:spacing w:line="500" w:lineRule="exact"/>
        <w:ind w:leftChars="-270"/>
        <w:jc w:val="center"/>
        <w:rPr>
          <w:rFonts w:hint="eastAsia" w:ascii="黑体" w:eastAsia="黑体"/>
          <w:sz w:val="24"/>
          <w:szCs w:val="24"/>
        </w:rPr>
      </w:pPr>
      <w:r>
        <w:rPr>
          <w:rFonts w:hint="eastAsia" w:ascii="黑体" w:eastAsia="黑体"/>
          <w:sz w:val="24"/>
          <w:szCs w:val="24"/>
          <w:lang w:val="en-US" w:eastAsia="zh-CN"/>
        </w:rPr>
        <w:t>1.</w:t>
      </w:r>
      <w:r>
        <w:rPr>
          <w:rFonts w:hint="eastAsia" w:ascii="黑体" w:eastAsia="黑体"/>
          <w:sz w:val="24"/>
          <w:szCs w:val="24"/>
        </w:rPr>
        <w:t>行政处罚普通程序流程图</w:t>
      </w:r>
      <w:bookmarkEnd w:id="3"/>
      <w:bookmarkEnd w:id="4"/>
    </w:p>
    <w:p>
      <w:pPr>
        <w:pStyle w:val="7"/>
        <w:numPr>
          <w:numId w:val="0"/>
        </w:numPr>
        <w:spacing w:line="500" w:lineRule="exact"/>
        <w:ind w:leftChars="-270"/>
        <w:jc w:val="both"/>
        <w:rPr>
          <w:rFonts w:hint="eastAsia" w:ascii="黑体" w:eastAsia="黑体"/>
          <w:sz w:val="24"/>
          <w:szCs w:val="24"/>
          <w:lang w:val="en-US" w:eastAsia="zh-CN"/>
        </w:rPr>
      </w:pPr>
      <w:r>
        <w:rPr>
          <w:rFonts w:hint="eastAsia" w:ascii="黑体" w:eastAsia="黑体"/>
          <w:sz w:val="24"/>
          <w:szCs w:val="24"/>
          <w:lang w:val="en-US" w:eastAsia="zh-CN"/>
        </w:rPr>
        <w:t xml:space="preserve">     </w:t>
      </w:r>
    </w:p>
    <w:p>
      <w:pPr>
        <w:pStyle w:val="6"/>
        <w:spacing w:beforeLines="0" w:afterLines="0"/>
        <w:ind w:left="0"/>
        <w:jc w:val="center"/>
        <w:outlineLvl w:val="1"/>
        <w:rPr>
          <w:rFonts w:hint="eastAsia" w:eastAsia="黑体"/>
          <w:szCs w:val="32"/>
          <w:lang w:eastAsia="zh-CN"/>
        </w:rPr>
      </w:pPr>
      <w:r>
        <w:rPr>
          <w:rFonts w:hint="eastAsia" w:eastAsia="黑体"/>
          <w:szCs w:val="32"/>
          <w:lang w:eastAsia="zh-CN"/>
        </w:rPr>
        <w:drawing>
          <wp:inline distT="0" distB="0" distL="114300" distR="114300">
            <wp:extent cx="6179185" cy="2790190"/>
            <wp:effectExtent l="0" t="0" r="12065" b="10160"/>
            <wp:docPr id="1" name="图片 2" descr="处罚普通程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处罚普通程序"/>
                    <pic:cNvPicPr>
                      <a:picLocks noChangeAspect="1"/>
                    </pic:cNvPicPr>
                  </pic:nvPicPr>
                  <pic:blipFill>
                    <a:blip r:embed="rId8"/>
                    <a:stretch>
                      <a:fillRect/>
                    </a:stretch>
                  </pic:blipFill>
                  <pic:spPr>
                    <a:xfrm>
                      <a:off x="0" y="0"/>
                      <a:ext cx="6179185" cy="2790190"/>
                    </a:xfrm>
                    <a:prstGeom prst="rect">
                      <a:avLst/>
                    </a:prstGeom>
                    <a:noFill/>
                    <a:ln w="9525">
                      <a:noFill/>
                    </a:ln>
                  </pic:spPr>
                </pic:pic>
              </a:graphicData>
            </a:graphic>
          </wp:inline>
        </w:drawing>
      </w:r>
    </w:p>
    <w:p>
      <w:pPr>
        <w:pStyle w:val="7"/>
        <w:keepNext w:val="0"/>
        <w:keepLines w:val="0"/>
        <w:pageBreakBefore w:val="0"/>
        <w:widowControl/>
        <w:kinsoku/>
        <w:wordWrap/>
        <w:overflowPunct/>
        <w:topLinePunct w:val="0"/>
        <w:autoSpaceDE w:val="0"/>
        <w:autoSpaceDN w:val="0"/>
        <w:bidi w:val="0"/>
        <w:adjustRightInd/>
        <w:snapToGrid/>
        <w:spacing w:line="500" w:lineRule="exact"/>
        <w:ind w:left="0" w:leftChars="0" w:firstLine="0" w:firstLineChars="0"/>
        <w:jc w:val="center"/>
        <w:textAlignment w:val="auto"/>
        <w:rPr>
          <w:rFonts w:hint="eastAsia" w:ascii="黑体" w:eastAsia="黑体"/>
          <w:sz w:val="24"/>
          <w:szCs w:val="24"/>
          <w:lang w:val="en-US" w:eastAsia="zh-CN"/>
        </w:rPr>
      </w:pPr>
    </w:p>
    <w:p>
      <w:pPr>
        <w:pStyle w:val="7"/>
        <w:keepNext w:val="0"/>
        <w:keepLines w:val="0"/>
        <w:pageBreakBefore w:val="0"/>
        <w:widowControl/>
        <w:numPr>
          <w:numId w:val="0"/>
        </w:numPr>
        <w:kinsoku/>
        <w:wordWrap/>
        <w:overflowPunct/>
        <w:topLinePunct w:val="0"/>
        <w:autoSpaceDE w:val="0"/>
        <w:autoSpaceDN w:val="0"/>
        <w:bidi w:val="0"/>
        <w:adjustRightInd/>
        <w:snapToGrid/>
        <w:spacing w:line="500" w:lineRule="exact"/>
        <w:ind w:leftChars="0"/>
        <w:jc w:val="center"/>
        <w:textAlignment w:val="auto"/>
        <w:rPr>
          <w:rFonts w:hint="eastAsia" w:ascii="黑体" w:eastAsia="黑体"/>
          <w:sz w:val="24"/>
          <w:szCs w:val="24"/>
        </w:rPr>
      </w:pPr>
      <w:r>
        <w:rPr>
          <w:rFonts w:hint="eastAsia" w:ascii="黑体" w:eastAsia="黑体"/>
          <w:sz w:val="24"/>
          <w:szCs w:val="24"/>
          <w:lang w:val="en-US" w:eastAsia="zh-CN"/>
        </w:rPr>
        <w:t>2.</w:t>
      </w:r>
      <w:r>
        <w:rPr>
          <w:rFonts w:hint="eastAsia" w:ascii="黑体" w:eastAsia="黑体"/>
          <w:sz w:val="24"/>
          <w:szCs w:val="24"/>
        </w:rPr>
        <w:t>行政处罚普通程序流程描述</w:t>
      </w:r>
    </w:p>
    <w:p>
      <w:pPr>
        <w:pStyle w:val="7"/>
        <w:keepNext w:val="0"/>
        <w:keepLines w:val="0"/>
        <w:pageBreakBefore w:val="0"/>
        <w:widowControl/>
        <w:numPr>
          <w:numId w:val="0"/>
        </w:numPr>
        <w:kinsoku/>
        <w:wordWrap/>
        <w:overflowPunct/>
        <w:topLinePunct w:val="0"/>
        <w:autoSpaceDE w:val="0"/>
        <w:autoSpaceDN w:val="0"/>
        <w:bidi w:val="0"/>
        <w:adjustRightInd/>
        <w:snapToGrid/>
        <w:spacing w:line="500" w:lineRule="exact"/>
        <w:ind w:leftChars="0"/>
        <w:jc w:val="both"/>
        <w:textAlignment w:val="auto"/>
        <w:rPr>
          <w:rFonts w:hint="eastAsia" w:ascii="黑体" w:eastAsia="黑体"/>
          <w:sz w:val="24"/>
          <w:szCs w:val="24"/>
        </w:rPr>
      </w:pPr>
    </w:p>
    <w:tbl>
      <w:tblPr>
        <w:tblStyle w:val="5"/>
        <w:tblW w:w="9358"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766"/>
        <w:gridCol w:w="1785"/>
        <w:gridCol w:w="580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序号</w:t>
            </w:r>
          </w:p>
        </w:tc>
        <w:tc>
          <w:tcPr>
            <w:tcW w:w="1785"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流程环节名称</w:t>
            </w:r>
          </w:p>
        </w:tc>
        <w:tc>
          <w:tcPr>
            <w:tcW w:w="5807"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说明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178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立案</w:t>
            </w:r>
          </w:p>
        </w:tc>
        <w:tc>
          <w:tcPr>
            <w:tcW w:w="5807"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对现场确定有违法事实的活动进行立案。</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w:t>
            </w:r>
          </w:p>
        </w:tc>
        <w:tc>
          <w:tcPr>
            <w:tcW w:w="178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调查取证</w:t>
            </w:r>
          </w:p>
        </w:tc>
        <w:tc>
          <w:tcPr>
            <w:tcW w:w="5807"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通过现场调查、询问等方式进行调查取证。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w:t>
            </w:r>
          </w:p>
        </w:tc>
        <w:tc>
          <w:tcPr>
            <w:tcW w:w="178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告知</w:t>
            </w:r>
          </w:p>
        </w:tc>
        <w:tc>
          <w:tcPr>
            <w:tcW w:w="5807"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告知当事人拟作出的行政处罚内容及事实、理由、依据、</w:t>
            </w:r>
            <w:r>
              <w:rPr>
                <w:rFonts w:hint="eastAsia" w:ascii="方正仿宋_GB2312" w:hAnsi="方正仿宋_GB2312" w:eastAsia="方正仿宋_GB2312" w:cs="方正仿宋_GB2312"/>
                <w:sz w:val="24"/>
                <w:lang w:eastAsia="zh-CN"/>
              </w:rPr>
              <w:t>申请执法人员回避权、</w:t>
            </w:r>
            <w:r>
              <w:rPr>
                <w:rFonts w:hint="eastAsia" w:ascii="方正仿宋_GB2312" w:hAnsi="方正仿宋_GB2312" w:eastAsia="方正仿宋_GB2312" w:cs="方正仿宋_GB2312"/>
                <w:sz w:val="24"/>
              </w:rPr>
              <w:t>陈述权、申辩权、听证权；听取当事人陈述、申辩，并复核陈述、申辩意见等。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4</w:t>
            </w:r>
          </w:p>
        </w:tc>
        <w:tc>
          <w:tcPr>
            <w:tcW w:w="178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审核</w:t>
            </w:r>
          </w:p>
        </w:tc>
        <w:tc>
          <w:tcPr>
            <w:tcW w:w="5807"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 xml:space="preserve">进行法制审核、负责人集体讨论，做出审核意见。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5</w:t>
            </w:r>
          </w:p>
        </w:tc>
        <w:tc>
          <w:tcPr>
            <w:tcW w:w="178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决定</w:t>
            </w:r>
          </w:p>
        </w:tc>
        <w:tc>
          <w:tcPr>
            <w:tcW w:w="5807"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结合审查结果做出最后的决定。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6</w:t>
            </w:r>
          </w:p>
        </w:tc>
        <w:tc>
          <w:tcPr>
            <w:tcW w:w="178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lang w:eastAsia="zh-CN"/>
              </w:rPr>
              <w:t>送达</w:t>
            </w:r>
            <w:r>
              <w:rPr>
                <w:rFonts w:hint="eastAsia" w:ascii="方正仿宋_GB2312" w:hAnsi="方正仿宋_GB2312" w:eastAsia="方正仿宋_GB2312" w:cs="方正仿宋_GB2312"/>
                <w:sz w:val="24"/>
              </w:rPr>
              <w:t>执行</w:t>
            </w:r>
          </w:p>
        </w:tc>
        <w:tc>
          <w:tcPr>
            <w:tcW w:w="5807"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根据决定书的内容，相关部门和工作人员对当事人执行处罚。</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jc w:val="center"/>
        </w:trPr>
        <w:tc>
          <w:tcPr>
            <w:tcW w:w="1766"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7</w:t>
            </w:r>
          </w:p>
        </w:tc>
        <w:tc>
          <w:tcPr>
            <w:tcW w:w="1785"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结案</w:t>
            </w:r>
          </w:p>
        </w:tc>
        <w:tc>
          <w:tcPr>
            <w:tcW w:w="5807"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案件结束，整理材料归档。</w:t>
            </w:r>
          </w:p>
        </w:tc>
      </w:tr>
    </w:tbl>
    <w:p>
      <w:pPr>
        <w:pStyle w:val="7"/>
        <w:spacing w:line="500" w:lineRule="exact"/>
        <w:ind w:left="0" w:leftChars="0" w:firstLine="480" w:firstLineChars="200"/>
        <w:jc w:val="center"/>
        <w:rPr>
          <w:rFonts w:hint="eastAsia" w:ascii="黑体" w:eastAsia="黑体"/>
          <w:sz w:val="24"/>
          <w:szCs w:val="24"/>
          <w:lang w:val="en-US" w:eastAsia="zh-CN"/>
        </w:rPr>
      </w:pPr>
    </w:p>
    <w:p>
      <w:pPr>
        <w:pStyle w:val="6"/>
        <w:spacing w:beforeLines="0" w:afterLines="0" w:line="500" w:lineRule="exact"/>
        <w:ind w:left="0"/>
        <w:outlineLvl w:val="0"/>
        <w:rPr>
          <w:rFonts w:hint="eastAsia"/>
          <w:szCs w:val="32"/>
        </w:rPr>
      </w:pPr>
      <w:bookmarkStart w:id="5" w:name="_Toc28446"/>
      <w:r>
        <w:rPr>
          <w:rFonts w:hint="eastAsia"/>
          <w:szCs w:val="32"/>
        </w:rPr>
        <w:br w:type="page"/>
      </w:r>
    </w:p>
    <w:p>
      <w:pPr>
        <w:pStyle w:val="6"/>
        <w:spacing w:beforeLines="0" w:afterLines="0" w:line="500" w:lineRule="exact"/>
        <w:ind w:left="0"/>
        <w:jc w:val="center"/>
        <w:outlineLvl w:val="0"/>
        <w:rPr>
          <w:rFonts w:hint="eastAsia" w:ascii="方正小标宋_GBK" w:hAnsi="方正小标宋_GBK" w:eastAsia="方正小标宋_GBK" w:cs="方正小标宋_GBK"/>
          <w:sz w:val="44"/>
          <w:szCs w:val="44"/>
          <w:lang w:val="en-US" w:eastAsia="zh-CN"/>
        </w:rPr>
      </w:pPr>
    </w:p>
    <w:p>
      <w:pPr>
        <w:pStyle w:val="6"/>
        <w:numPr>
          <w:ilvl w:val="0"/>
          <w:numId w:val="1"/>
        </w:numPr>
        <w:spacing w:beforeLines="0" w:afterLines="0" w:line="500" w:lineRule="exact"/>
        <w:ind w:left="0"/>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行政检查流程</w:t>
      </w:r>
      <w:bookmarkEnd w:id="5"/>
    </w:p>
    <w:p>
      <w:pPr>
        <w:numPr>
          <w:numId w:val="0"/>
        </w:numPr>
        <w:rPr>
          <w:rFonts w:hint="eastAsia"/>
        </w:rPr>
      </w:pPr>
    </w:p>
    <w:p>
      <w:pPr>
        <w:pStyle w:val="6"/>
        <w:keepNext w:val="0"/>
        <w:keepLines w:val="0"/>
        <w:pageBreakBefore w:val="0"/>
        <w:widowControl/>
        <w:kinsoku/>
        <w:wordWrap/>
        <w:overflowPunct/>
        <w:topLinePunct w:val="0"/>
        <w:autoSpaceDE/>
        <w:autoSpaceDN/>
        <w:bidi w:val="0"/>
        <w:adjustRightInd/>
        <w:snapToGrid/>
        <w:spacing w:beforeLines="0" w:afterLines="0" w:line="500" w:lineRule="exact"/>
        <w:ind w:left="0" w:firstLine="0" w:firstLineChars="0"/>
        <w:jc w:val="center"/>
        <w:textAlignment w:val="auto"/>
        <w:outlineLvl w:val="9"/>
        <w:rPr>
          <w:sz w:val="24"/>
          <w:szCs w:val="24"/>
        </w:rPr>
      </w:pPr>
      <w:r>
        <w:rPr>
          <w:rFonts w:hint="eastAsia"/>
          <w:sz w:val="24"/>
          <w:szCs w:val="24"/>
          <w:lang w:val="en-US" w:eastAsia="zh-CN"/>
        </w:rPr>
        <w:t>1.</w:t>
      </w:r>
      <w:r>
        <w:rPr>
          <w:rFonts w:hint="eastAsia"/>
          <w:sz w:val="24"/>
          <w:szCs w:val="24"/>
        </w:rPr>
        <w:t>行政检查流程图</w:t>
      </w:r>
    </w:p>
    <w:p>
      <w:pPr>
        <w:pStyle w:val="7"/>
        <w:spacing w:beforeLines="50" w:afterLines="50"/>
        <w:ind w:left="-283" w:leftChars="-135" w:firstLine="0" w:firstLineChars="0"/>
        <w:jc w:val="center"/>
        <w:rPr>
          <w:sz w:val="32"/>
          <w:szCs w:val="32"/>
        </w:rPr>
      </w:pPr>
      <w:r>
        <w:object>
          <v:shape id="_x0000_i1027" o:spt="75" type="#_x0000_t75" style="height:284.4pt;width:462.05pt;" o:ole="t" filled="f" o:preferrelative="t" stroked="f" coordsize="21600,21600">
            <v:path/>
            <v:fill on="f" focussize="0,0"/>
            <v:stroke on="f"/>
            <v:imagedata r:id="rId10" o:title=""/>
            <o:lock v:ext="edit" aspectratio="t"/>
            <w10:wrap type="none"/>
            <w10:anchorlock/>
          </v:shape>
          <o:OLEObject Type="Embed" ProgID="Visio.Drawing.15" ShapeID="_x0000_i1027" DrawAspect="Content" ObjectID="_1468075726" r:id="rId9">
            <o:LockedField>false</o:LockedField>
          </o:OLEObject>
        </w:object>
      </w:r>
      <w:bookmarkStart w:id="6" w:name="_Toc511050177"/>
      <w:bookmarkStart w:id="7" w:name="_Toc516243102"/>
    </w:p>
    <w:bookmarkEnd w:id="6"/>
    <w:bookmarkEnd w:id="7"/>
    <w:p>
      <w:pPr>
        <w:pStyle w:val="6"/>
        <w:keepNext w:val="0"/>
        <w:keepLines w:val="0"/>
        <w:pageBreakBefore w:val="0"/>
        <w:widowControl/>
        <w:numPr>
          <w:numId w:val="0"/>
        </w:numPr>
        <w:kinsoku/>
        <w:wordWrap/>
        <w:overflowPunct/>
        <w:topLinePunct w:val="0"/>
        <w:autoSpaceDE/>
        <w:autoSpaceDN/>
        <w:bidi w:val="0"/>
        <w:adjustRightInd/>
        <w:snapToGrid/>
        <w:spacing w:beforeLines="0" w:afterLines="0" w:line="500" w:lineRule="exact"/>
        <w:ind w:left="3853" w:leftChars="0"/>
        <w:jc w:val="both"/>
        <w:textAlignment w:val="auto"/>
        <w:outlineLvl w:val="9"/>
        <w:rPr>
          <w:rFonts w:hint="eastAsia" w:ascii="CESI黑体-GB13000" w:hAnsi="CESI黑体-GB13000" w:eastAsia="CESI黑体-GB13000" w:cs="CESI黑体-GB13000"/>
          <w:sz w:val="24"/>
          <w:szCs w:val="24"/>
        </w:rPr>
      </w:pPr>
      <w:r>
        <w:rPr>
          <w:rFonts w:hint="eastAsia" w:ascii="CESI黑体-GB13000" w:hAnsi="CESI黑体-GB13000" w:eastAsia="CESI黑体-GB13000" w:cs="CESI黑体-GB13000"/>
          <w:sz w:val="24"/>
          <w:szCs w:val="24"/>
          <w:lang w:val="en-US" w:eastAsia="zh-CN"/>
        </w:rPr>
        <w:t>2.</w:t>
      </w:r>
      <w:r>
        <w:rPr>
          <w:rFonts w:hint="eastAsia" w:ascii="CESI黑体-GB13000" w:hAnsi="CESI黑体-GB13000" w:eastAsia="CESI黑体-GB13000" w:cs="CESI黑体-GB13000"/>
          <w:sz w:val="24"/>
          <w:szCs w:val="24"/>
        </w:rPr>
        <w:t>行政检查流程描述</w:t>
      </w:r>
    </w:p>
    <w:p>
      <w:pPr>
        <w:numPr>
          <w:numId w:val="0"/>
        </w:numPr>
        <w:ind w:left="3853" w:leftChars="0"/>
      </w:pPr>
    </w:p>
    <w:tbl>
      <w:tblPr>
        <w:tblStyle w:val="5"/>
        <w:tblW w:w="9264" w:type="dxa"/>
        <w:jc w:val="center"/>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134"/>
        <w:gridCol w:w="2132"/>
        <w:gridCol w:w="59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134"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序号</w:t>
            </w:r>
          </w:p>
        </w:tc>
        <w:tc>
          <w:tcPr>
            <w:tcW w:w="2132"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流程环节名称</w:t>
            </w:r>
          </w:p>
        </w:tc>
        <w:tc>
          <w:tcPr>
            <w:tcW w:w="5998" w:type="dxa"/>
            <w:tcBorders>
              <w:tl2br w:val="nil"/>
              <w:tr2bl w:val="nil"/>
            </w:tcBorders>
            <w:vAlign w:val="top"/>
          </w:tcPr>
          <w:p>
            <w:pPr>
              <w:snapToGrid w:val="0"/>
              <w:jc w:val="center"/>
              <w:rPr>
                <w:rFonts w:ascii="方正仿宋_GB2312" w:hAnsi="方正仿宋_GB2312" w:eastAsia="方正仿宋_GB2312" w:cs="方正仿宋_GB2312"/>
                <w:b w:val="0"/>
                <w:bCs/>
                <w:sz w:val="24"/>
              </w:rPr>
            </w:pPr>
            <w:r>
              <w:rPr>
                <w:rFonts w:hint="eastAsia" w:ascii="方正仿宋_GB2312" w:hAnsi="方正仿宋_GB2312" w:eastAsia="方正仿宋_GB2312" w:cs="方正仿宋_GB2312"/>
                <w:b w:val="0"/>
                <w:bCs/>
                <w:sz w:val="24"/>
              </w:rPr>
              <w:t>说明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134"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1</w:t>
            </w:r>
          </w:p>
        </w:tc>
        <w:tc>
          <w:tcPr>
            <w:tcW w:w="2132"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登记</w:t>
            </w:r>
          </w:p>
        </w:tc>
        <w:tc>
          <w:tcPr>
            <w:tcW w:w="5998"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对符合行政检查的案件进行登记。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134"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2</w:t>
            </w:r>
          </w:p>
        </w:tc>
        <w:tc>
          <w:tcPr>
            <w:tcW w:w="2132"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检查</w:t>
            </w:r>
          </w:p>
        </w:tc>
        <w:tc>
          <w:tcPr>
            <w:tcW w:w="5998"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制定检查方案，并进行检查公告或通知，根据执法单位职责范围对案件进行检查、收集信息、编制检查报告、给出检查结论。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134"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3</w:t>
            </w:r>
          </w:p>
        </w:tc>
        <w:tc>
          <w:tcPr>
            <w:tcW w:w="2132"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决定</w:t>
            </w:r>
          </w:p>
        </w:tc>
        <w:tc>
          <w:tcPr>
            <w:tcW w:w="5998"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根据检查结果作出检查决定，出具检查处理决定书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Ex>
        <w:trPr>
          <w:jc w:val="center"/>
        </w:trPr>
        <w:tc>
          <w:tcPr>
            <w:tcW w:w="1134" w:type="dxa"/>
            <w:tcBorders>
              <w:tl2br w:val="nil"/>
              <w:tr2bl w:val="nil"/>
            </w:tcBorders>
            <w:vAlign w:val="top"/>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4</w:t>
            </w:r>
          </w:p>
        </w:tc>
        <w:tc>
          <w:tcPr>
            <w:tcW w:w="2132" w:type="dxa"/>
            <w:tcBorders>
              <w:tl2br w:val="nil"/>
              <w:tr2bl w:val="nil"/>
            </w:tcBorders>
            <w:vAlign w:val="center"/>
          </w:tcPr>
          <w:p>
            <w:pPr>
              <w:snapToGrid w:val="0"/>
              <w:jc w:val="center"/>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结案</w:t>
            </w:r>
          </w:p>
        </w:tc>
        <w:tc>
          <w:tcPr>
            <w:tcW w:w="5998" w:type="dxa"/>
            <w:tcBorders>
              <w:tl2br w:val="nil"/>
              <w:tr2bl w:val="nil"/>
            </w:tcBorders>
            <w:vAlign w:val="top"/>
          </w:tcPr>
          <w:p>
            <w:pPr>
              <w:snapToGrid w:val="0"/>
              <w:rPr>
                <w:rFonts w:ascii="方正仿宋_GB2312" w:hAnsi="方正仿宋_GB2312" w:eastAsia="方正仿宋_GB2312" w:cs="方正仿宋_GB2312"/>
                <w:sz w:val="24"/>
              </w:rPr>
            </w:pPr>
            <w:r>
              <w:rPr>
                <w:rFonts w:hint="eastAsia" w:ascii="方正仿宋_GB2312" w:hAnsi="方正仿宋_GB2312" w:eastAsia="方正仿宋_GB2312" w:cs="方正仿宋_GB2312"/>
                <w:sz w:val="24"/>
              </w:rPr>
              <w:t>案件结束，整理材料归档。</w:t>
            </w:r>
          </w:p>
        </w:tc>
      </w:tr>
    </w:tbl>
    <w:p>
      <w:pPr>
        <w:pStyle w:val="6"/>
        <w:spacing w:beforeLines="0" w:afterLines="0" w:line="500" w:lineRule="exact"/>
        <w:ind w:left="0"/>
        <w:outlineLvl w:val="1"/>
        <w:rPr>
          <w:szCs w:val="32"/>
        </w:rPr>
        <w:sectPr>
          <w:footerReference r:id="rId3" w:type="default"/>
          <w:pgSz w:w="11906" w:h="16838"/>
          <w:pgMar w:top="1440" w:right="1080" w:bottom="1440" w:left="1080" w:header="851" w:footer="850" w:gutter="0"/>
          <w:pgBorders>
            <w:top w:val="none" w:sz="0" w:space="0"/>
            <w:left w:val="none" w:sz="0" w:space="0"/>
            <w:bottom w:val="none" w:sz="0" w:space="0"/>
            <w:right w:val="none" w:sz="0" w:space="0"/>
          </w:pgBorders>
          <w:pgNumType w:fmt="decimal" w:start="1"/>
          <w:cols w:space="720" w:num="1"/>
          <w:formProt w:val="0"/>
          <w:rtlGutter w:val="0"/>
          <w:docGrid w:type="lines" w:linePitch="436" w:charSpace="0"/>
        </w:sectPr>
      </w:pPr>
    </w:p>
    <w:p>
      <w:pPr>
        <w:pStyle w:val="6"/>
        <w:spacing w:beforeLines="0" w:afterLines="0" w:line="500" w:lineRule="exact"/>
        <w:ind w:left="0"/>
        <w:jc w:val="center"/>
        <w:outlineLvl w:val="0"/>
        <w:rPr>
          <w:rFonts w:hint="eastAsia" w:ascii="方正小标宋_GBK" w:hAnsi="方正小标宋_GBK" w:eastAsia="方正小标宋_GBK" w:cs="方正小标宋_GBK"/>
          <w:sz w:val="44"/>
          <w:szCs w:val="44"/>
          <w:lang w:val="en-US" w:eastAsia="zh-CN"/>
        </w:rPr>
      </w:pPr>
      <w:bookmarkStart w:id="8" w:name="_Toc28140"/>
    </w:p>
    <w:p>
      <w:pPr>
        <w:pStyle w:val="6"/>
        <w:numPr>
          <w:ilvl w:val="0"/>
          <w:numId w:val="1"/>
        </w:numPr>
        <w:spacing w:beforeLines="0" w:afterLines="0" w:line="500" w:lineRule="exact"/>
        <w:ind w:left="0" w:leftChars="0" w:firstLine="0" w:firstLineChars="0"/>
        <w:jc w:val="center"/>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行政许可流程</w:t>
      </w:r>
      <w:bookmarkEnd w:id="8"/>
    </w:p>
    <w:p>
      <w:pPr>
        <w:numPr>
          <w:numId w:val="0"/>
        </w:numPr>
        <w:ind w:leftChars="0"/>
        <w:rPr>
          <w:rFonts w:hint="eastAsia"/>
        </w:rPr>
      </w:pPr>
    </w:p>
    <w:p>
      <w:pPr>
        <w:pStyle w:val="6"/>
        <w:numPr>
          <w:numId w:val="0"/>
        </w:numPr>
        <w:spacing w:beforeLines="0" w:afterLines="0" w:line="500" w:lineRule="exact"/>
        <w:jc w:val="center"/>
        <w:outlineLvl w:val="9"/>
        <w:rPr>
          <w:rFonts w:hint="eastAsia"/>
          <w:sz w:val="24"/>
          <w:szCs w:val="24"/>
        </w:rPr>
      </w:pPr>
      <w:r>
        <w:rPr>
          <w:rFonts w:hint="eastAsia"/>
          <w:sz w:val="24"/>
          <w:szCs w:val="24"/>
          <w:lang w:val="en-US" w:eastAsia="zh-CN"/>
        </w:rPr>
        <w:t>1.</w:t>
      </w:r>
      <w:r>
        <w:rPr>
          <w:rFonts w:hint="eastAsia"/>
          <w:sz w:val="24"/>
          <w:szCs w:val="24"/>
        </w:rPr>
        <w:t>行政许可流程图</w:t>
      </w:r>
    </w:p>
    <w:p>
      <w:pPr>
        <w:numPr>
          <w:numId w:val="0"/>
        </w:numPr>
      </w:pPr>
    </w:p>
    <w:p>
      <w:pPr>
        <w:jc w:val="center"/>
        <w:rPr>
          <w:rFonts w:hint="eastAsia" w:ascii="黑体" w:eastAsia="黑体"/>
          <w:kern w:val="0"/>
          <w:sz w:val="32"/>
          <w:szCs w:val="32"/>
          <w:lang w:eastAsia="zh-CN"/>
        </w:rPr>
        <w:sectPr>
          <w:footerReference r:id="rId4" w:type="default"/>
          <w:pgSz w:w="16838" w:h="11906" w:orient="landscape"/>
          <w:pgMar w:top="1440" w:right="1080" w:bottom="1440" w:left="1080" w:header="851" w:footer="1418" w:gutter="0"/>
          <w:pgBorders>
            <w:top w:val="none" w:sz="0" w:space="0"/>
            <w:left w:val="none" w:sz="0" w:space="0"/>
            <w:bottom w:val="none" w:sz="0" w:space="0"/>
            <w:right w:val="none" w:sz="0" w:space="0"/>
          </w:pgBorders>
          <w:pgNumType w:fmt="decimal"/>
          <w:cols w:space="720" w:num="1"/>
          <w:formProt w:val="0"/>
          <w:docGrid w:type="linesAndChars" w:linePitch="436" w:charSpace="0"/>
        </w:sectPr>
      </w:pPr>
      <w:r>
        <w:rPr>
          <w:rFonts w:hint="eastAsia" w:ascii="黑体" w:eastAsia="黑体"/>
          <w:kern w:val="0"/>
          <w:sz w:val="32"/>
          <w:szCs w:val="32"/>
          <w:lang w:eastAsia="zh-CN"/>
        </w:rPr>
        <w:drawing>
          <wp:anchor distT="0" distB="0" distL="114300" distR="114300" simplePos="0" relativeHeight="251658240" behindDoc="1" locked="0" layoutInCell="1" allowOverlap="1">
            <wp:simplePos x="0" y="0"/>
            <wp:positionH relativeFrom="column">
              <wp:posOffset>0</wp:posOffset>
            </wp:positionH>
            <wp:positionV relativeFrom="paragraph">
              <wp:posOffset>23495</wp:posOffset>
            </wp:positionV>
            <wp:extent cx="9687560" cy="4658995"/>
            <wp:effectExtent l="0" t="0" r="8890" b="8255"/>
            <wp:wrapTight wrapText="bothSides">
              <wp:wrapPolygon>
                <wp:start x="0" y="0"/>
                <wp:lineTo x="0" y="21550"/>
                <wp:lineTo x="21577" y="21550"/>
                <wp:lineTo x="21577" y="0"/>
                <wp:lineTo x="0" y="0"/>
              </wp:wrapPolygon>
            </wp:wrapTight>
            <wp:docPr id="4" name="图片 2" descr="表格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表格_01"/>
                    <pic:cNvPicPr>
                      <a:picLocks noChangeAspect="1"/>
                    </pic:cNvPicPr>
                  </pic:nvPicPr>
                  <pic:blipFill>
                    <a:blip r:embed="rId11"/>
                    <a:srcRect t="15047" b="16927"/>
                    <a:stretch>
                      <a:fillRect/>
                    </a:stretch>
                  </pic:blipFill>
                  <pic:spPr>
                    <a:xfrm>
                      <a:off x="0" y="0"/>
                      <a:ext cx="9687560" cy="4658995"/>
                    </a:xfrm>
                    <a:prstGeom prst="rect">
                      <a:avLst/>
                    </a:prstGeom>
                    <a:noFill/>
                    <a:ln w="9525">
                      <a:noFill/>
                    </a:ln>
                  </pic:spPr>
                </pic:pic>
              </a:graphicData>
            </a:graphic>
          </wp:anchor>
        </w:drawing>
      </w:r>
    </w:p>
    <w:p>
      <w:pPr>
        <w:pStyle w:val="6"/>
        <w:spacing w:beforeLines="0" w:afterLines="0" w:line="500" w:lineRule="exact"/>
        <w:ind w:left="0"/>
        <w:jc w:val="center"/>
        <w:outlineLvl w:val="9"/>
        <w:rPr>
          <w:rFonts w:hint="eastAsia" w:ascii="CESI黑体-GB13000" w:hAnsi="CESI黑体-GB13000" w:eastAsia="CESI黑体-GB13000" w:cs="CESI黑体-GB13000"/>
          <w:sz w:val="24"/>
          <w:szCs w:val="24"/>
          <w:lang w:val="en-US" w:eastAsia="zh-CN"/>
        </w:rPr>
      </w:pPr>
    </w:p>
    <w:p>
      <w:pPr>
        <w:pStyle w:val="6"/>
        <w:numPr>
          <w:numId w:val="0"/>
        </w:numPr>
        <w:spacing w:beforeLines="0" w:afterLines="0" w:line="500" w:lineRule="exact"/>
        <w:jc w:val="center"/>
        <w:outlineLvl w:val="9"/>
        <w:rPr>
          <w:rFonts w:hint="eastAsia" w:ascii="CESI黑体-GB13000" w:hAnsi="CESI黑体-GB13000" w:eastAsia="CESI黑体-GB13000" w:cs="CESI黑体-GB13000"/>
          <w:sz w:val="24"/>
          <w:szCs w:val="24"/>
        </w:rPr>
      </w:pPr>
      <w:r>
        <w:rPr>
          <w:rFonts w:hint="eastAsia" w:ascii="CESI黑体-GB13000" w:hAnsi="CESI黑体-GB13000" w:eastAsia="CESI黑体-GB13000" w:cs="CESI黑体-GB13000"/>
          <w:sz w:val="24"/>
          <w:szCs w:val="24"/>
          <w:lang w:val="en-US" w:eastAsia="zh-CN"/>
        </w:rPr>
        <w:t>2.</w:t>
      </w:r>
      <w:bookmarkStart w:id="9" w:name="_GoBack"/>
      <w:bookmarkEnd w:id="9"/>
      <w:r>
        <w:rPr>
          <w:rFonts w:hint="eastAsia" w:ascii="CESI黑体-GB13000" w:hAnsi="CESI黑体-GB13000" w:eastAsia="CESI黑体-GB13000" w:cs="CESI黑体-GB13000"/>
          <w:sz w:val="24"/>
          <w:szCs w:val="24"/>
        </w:rPr>
        <w:t>行政许可流程图描述</w:t>
      </w:r>
    </w:p>
    <w:p>
      <w:pPr>
        <w:numPr>
          <w:numId w:val="0"/>
        </w:numPr>
      </w:pPr>
    </w:p>
    <w:tbl>
      <w:tblPr>
        <w:tblStyle w:val="5"/>
        <w:tblpPr w:leftFromText="180" w:rightFromText="180" w:vertAnchor="text" w:horzAnchor="margin" w:tblpX="108" w:tblpY="174"/>
        <w:tblOverlap w:val="never"/>
        <w:tblW w:w="93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378"/>
        <w:gridCol w:w="7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序号</w:t>
            </w:r>
          </w:p>
        </w:tc>
        <w:tc>
          <w:tcPr>
            <w:tcW w:w="1378"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流程环节名称</w:t>
            </w:r>
          </w:p>
        </w:tc>
        <w:tc>
          <w:tcPr>
            <w:tcW w:w="7382"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6"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1</w:t>
            </w:r>
          </w:p>
        </w:tc>
        <w:tc>
          <w:tcPr>
            <w:tcW w:w="1378"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申请</w:t>
            </w:r>
          </w:p>
        </w:tc>
        <w:tc>
          <w:tcPr>
            <w:tcW w:w="7382" w:type="dxa"/>
            <w:vAlign w:val="center"/>
          </w:tcPr>
          <w:p>
            <w:pPr>
              <w:spacing w:line="300" w:lineRule="exact"/>
              <w:jc w:val="left"/>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公民、法人或者其他组织从事特定活动，依法需要取得行政许可的，应当向行政机关提出申请，并对申请材料实质内容的真实性负责。申请书需要采用格式文本的，由行政机关提供。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2</w:t>
            </w:r>
          </w:p>
        </w:tc>
        <w:tc>
          <w:tcPr>
            <w:tcW w:w="1378"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受理</w:t>
            </w:r>
          </w:p>
        </w:tc>
        <w:tc>
          <w:tcPr>
            <w:tcW w:w="7382" w:type="dxa"/>
            <w:vAlign w:val="center"/>
          </w:tcPr>
          <w:p>
            <w:pPr>
              <w:spacing w:line="300" w:lineRule="exact"/>
              <w:jc w:val="left"/>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行政机关受理或者不予受理行政许可申请，应当出具加盖本行政机关专用印章和注明日期的书面凭证。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3</w:t>
            </w:r>
          </w:p>
        </w:tc>
        <w:tc>
          <w:tcPr>
            <w:tcW w:w="1378"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听证</w:t>
            </w:r>
          </w:p>
        </w:tc>
        <w:tc>
          <w:tcPr>
            <w:tcW w:w="7382" w:type="dxa"/>
            <w:vAlign w:val="center"/>
          </w:tcPr>
          <w:p>
            <w:pPr>
              <w:spacing w:line="300" w:lineRule="exact"/>
              <w:jc w:val="left"/>
              <w:rPr>
                <w:rFonts w:hint="eastAsia" w:ascii="方正仿宋_GB2312" w:hAnsi="方正仿宋_GB2312" w:eastAsia="方正仿宋_GB2312" w:cs="方正仿宋_GB2312"/>
                <w:bCs/>
                <w:sz w:val="24"/>
                <w:lang w:eastAsia="zh-CN"/>
              </w:rPr>
            </w:pPr>
            <w:r>
              <w:rPr>
                <w:rFonts w:hint="eastAsia" w:ascii="方正仿宋_GB2312" w:hAnsi="方正仿宋_GB2312" w:eastAsia="方正仿宋_GB2312" w:cs="方正仿宋_GB2312"/>
                <w:bCs/>
                <w:sz w:val="24"/>
              </w:rPr>
              <w:t>法律、法规、规章规定实施行政许可应当听证的事项，或者行政机关认为需要听证的其他涉及公共利益的重大行政许可事项，行政机关应当向社会公告，并举行听证。</w:t>
            </w:r>
            <w:r>
              <w:rPr>
                <w:rFonts w:hint="eastAsia" w:ascii="方正仿宋_GB2312" w:hAnsi="方正仿宋_GB2312" w:eastAsia="方正仿宋_GB2312" w:cs="方正仿宋_GB2312"/>
                <w:bCs/>
                <w:sz w:val="24"/>
                <w:lang w:eastAsia="zh-CN"/>
              </w:rPr>
              <w:t>行政许可直接涉及申请人与他人之间重大利益关系的，行政机关在作出行政许可前，应当告知申请人、利害关系人享有要求听证的权利。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8"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4</w:t>
            </w:r>
          </w:p>
        </w:tc>
        <w:tc>
          <w:tcPr>
            <w:tcW w:w="1378"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决定</w:t>
            </w:r>
          </w:p>
        </w:tc>
        <w:tc>
          <w:tcPr>
            <w:tcW w:w="7382" w:type="dxa"/>
            <w:vAlign w:val="center"/>
          </w:tcPr>
          <w:p>
            <w:pPr>
              <w:spacing w:line="300" w:lineRule="exact"/>
              <w:jc w:val="left"/>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行政机关对申请人的申请符合法定条件、标准的，应当依法作出准予行政许可的书面决定；不符合法定条件、标准的，应当依法作出不予行政许可的书面决定，同时应当说明理由，并告知申请人享有依法申请行政复议或者提起行政诉讼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5</w:t>
            </w:r>
          </w:p>
        </w:tc>
        <w:tc>
          <w:tcPr>
            <w:tcW w:w="1378"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送达</w:t>
            </w:r>
          </w:p>
        </w:tc>
        <w:tc>
          <w:tcPr>
            <w:tcW w:w="7382" w:type="dxa"/>
            <w:vAlign w:val="center"/>
          </w:tcPr>
          <w:p>
            <w:pPr>
              <w:spacing w:line="300" w:lineRule="exact"/>
              <w:jc w:val="left"/>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行政机关作出准予行政许可的决定，应当自作出决定之日起十日内向申请人颁发、送达行政许可证件。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6</w:t>
            </w:r>
          </w:p>
        </w:tc>
        <w:tc>
          <w:tcPr>
            <w:tcW w:w="1378" w:type="dxa"/>
            <w:vAlign w:val="center"/>
          </w:tcPr>
          <w:p>
            <w:pPr>
              <w:spacing w:line="300" w:lineRule="exact"/>
              <w:jc w:val="center"/>
              <w:rPr>
                <w:rFonts w:hint="eastAsia" w:ascii="方正仿宋_GB2312" w:hAnsi="方正仿宋_GB2312" w:eastAsia="方正仿宋_GB2312" w:cs="方正仿宋_GB2312"/>
                <w:bCs/>
                <w:sz w:val="24"/>
                <w:lang w:eastAsia="zh-CN"/>
              </w:rPr>
            </w:pPr>
            <w:r>
              <w:rPr>
                <w:rFonts w:hint="eastAsia" w:ascii="方正仿宋_GB2312" w:hAnsi="方正仿宋_GB2312" w:eastAsia="方正仿宋_GB2312" w:cs="方正仿宋_GB2312"/>
                <w:bCs/>
                <w:sz w:val="24"/>
              </w:rPr>
              <w:t>公</w:t>
            </w:r>
            <w:r>
              <w:rPr>
                <w:rFonts w:hint="eastAsia" w:ascii="方正仿宋_GB2312" w:hAnsi="方正仿宋_GB2312" w:eastAsia="方正仿宋_GB2312" w:cs="方正仿宋_GB2312"/>
                <w:bCs/>
                <w:sz w:val="24"/>
                <w:lang w:eastAsia="zh-CN"/>
              </w:rPr>
              <w:t>开</w:t>
            </w:r>
          </w:p>
        </w:tc>
        <w:tc>
          <w:tcPr>
            <w:tcW w:w="7382" w:type="dxa"/>
            <w:vAlign w:val="center"/>
          </w:tcPr>
          <w:p>
            <w:pPr>
              <w:spacing w:line="300" w:lineRule="exact"/>
              <w:jc w:val="left"/>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行政机关对行政许可的决定信息要在执法决定作出</w:t>
            </w:r>
            <w:r>
              <w:rPr>
                <w:rFonts w:hint="eastAsia" w:ascii="方正仿宋_GB2312" w:hAnsi="方正仿宋_GB2312" w:eastAsia="方正仿宋_GB2312" w:cs="方正仿宋_GB2312"/>
                <w:bCs/>
                <w:sz w:val="24"/>
                <w:lang w:eastAsia="zh-CN"/>
              </w:rPr>
              <w:t>之日起</w:t>
            </w:r>
            <w:r>
              <w:rPr>
                <w:rFonts w:hint="eastAsia" w:ascii="方正仿宋_GB2312" w:hAnsi="方正仿宋_GB2312" w:eastAsia="方正仿宋_GB2312" w:cs="方正仿宋_GB2312"/>
                <w:bCs/>
                <w:sz w:val="24"/>
                <w:lang w:val="en-US" w:eastAsia="zh-CN"/>
              </w:rPr>
              <w:t>7个工作日内向社会</w:t>
            </w:r>
            <w:r>
              <w:rPr>
                <w:rFonts w:hint="eastAsia" w:ascii="方正仿宋_GB2312" w:hAnsi="方正仿宋_GB2312" w:eastAsia="方正仿宋_GB2312" w:cs="方正仿宋_GB2312"/>
                <w:bCs/>
                <w:sz w:val="24"/>
              </w:rPr>
              <w:t>公开，但行政许可的实施和结果，涉及国家秘密、商业秘密或者个人隐私的，应当不予公开。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trPr>
        <w:tc>
          <w:tcPr>
            <w:tcW w:w="607"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7</w:t>
            </w:r>
          </w:p>
        </w:tc>
        <w:tc>
          <w:tcPr>
            <w:tcW w:w="1378" w:type="dxa"/>
            <w:vAlign w:val="center"/>
          </w:tcPr>
          <w:p>
            <w:pPr>
              <w:spacing w:line="300" w:lineRule="exact"/>
              <w:jc w:val="center"/>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结案</w:t>
            </w:r>
          </w:p>
        </w:tc>
        <w:tc>
          <w:tcPr>
            <w:tcW w:w="7382" w:type="dxa"/>
            <w:vAlign w:val="center"/>
          </w:tcPr>
          <w:p>
            <w:pPr>
              <w:spacing w:line="300" w:lineRule="exact"/>
              <w:jc w:val="left"/>
              <w:rPr>
                <w:rFonts w:ascii="方正仿宋_GB2312" w:hAnsi="方正仿宋_GB2312" w:eastAsia="方正仿宋_GB2312" w:cs="方正仿宋_GB2312"/>
                <w:bCs/>
                <w:sz w:val="24"/>
              </w:rPr>
            </w:pPr>
            <w:r>
              <w:rPr>
                <w:rFonts w:hint="eastAsia" w:ascii="方正仿宋_GB2312" w:hAnsi="方正仿宋_GB2312" w:eastAsia="方正仿宋_GB2312" w:cs="方正仿宋_GB2312"/>
                <w:bCs/>
                <w:sz w:val="24"/>
              </w:rPr>
              <w:t>行政许可事项处理完毕，行政机关按照要求将案件材料立案归档。</w:t>
            </w:r>
          </w:p>
        </w:tc>
      </w:tr>
    </w:tbl>
    <w:p>
      <w:pPr>
        <w:pStyle w:val="6"/>
        <w:spacing w:beforeLines="0" w:afterLines="0" w:line="500" w:lineRule="exact"/>
        <w:ind w:left="0" w:firstLine="640" w:firstLineChars="200"/>
        <w:outlineLvl w:val="1"/>
        <w:rPr>
          <w:szCs w:val="32"/>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2312">
    <w:panose1 w:val="02000000000000000000"/>
    <w:charset w:val="86"/>
    <w:family w:val="auto"/>
    <w:pitch w:val="default"/>
    <w:sig w:usb0="00000000" w:usb1="00000000" w:usb2="00000000" w:usb3="00000000" w:csb0="00000000" w:csb1="00000000"/>
  </w:font>
  <w:font w:name="CESI黑体-GB13000">
    <w:altName w:val="黑体"/>
    <w:panose1 w:val="02000500000000000000"/>
    <w:charset w:val="86"/>
    <w:family w:val="auto"/>
    <w:pitch w:val="default"/>
    <w:sig w:usb0="00000000" w:usb1="00000000"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77"/>
      </w:tabs>
      <w:rPr>
        <w:rFonts w:ascii="黑体" w:hAnsi="黑体" w:eastAsia="黑体" w:cs="黑体"/>
        <w:sz w:val="32"/>
        <w:szCs w:val="40"/>
      </w:rPr>
    </w:pPr>
    <w:r>
      <w:rPr>
        <w:sz w:val="32"/>
      </w:rPr>
      <mc:AlternateContent>
        <mc:Choice Requires="wps">
          <w:drawing>
            <wp:anchor distT="0" distB="0" distL="114300" distR="114300" simplePos="0" relativeHeight="25167974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op6x7gBAABUAwAADgAAAGRycy9lMm9Eb2MueG1srVPBThsxEL1X4h8s&#10;35tdg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5op6x7gBAABUAwAADgAAAAAAAAABACAAAAAeAQAAZHJzL2Uyb0RvYy54bWxQSwUGAAAAAAYABgBZ&#10;AQAASAU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r>
      <w:rPr>
        <w:rFonts w:eastAsia="黑体" w:cs="Calibri"/>
        <w:sz w:val="32"/>
        <w:szCs w:val="40"/>
      </w:rPr>
      <w:tab/>
    </w:r>
  </w:p>
  <w:p>
    <w:pPr>
      <w:pStyle w:val="3"/>
      <w:rPr>
        <w:sz w:val="20"/>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677"/>
      </w:tabs>
      <w:rPr>
        <w:rFonts w:ascii="黑体" w:hAnsi="黑体" w:eastAsia="黑体" w:cs="黑体"/>
        <w:sz w:val="32"/>
        <w:szCs w:val="40"/>
      </w:rPr>
    </w:pPr>
    <w:r>
      <w:rPr>
        <w:sz w:val="32"/>
      </w:rPr>
      <mc:AlternateContent>
        <mc:Choice Requires="wps">
          <w:drawing>
            <wp:anchor distT="0" distB="0" distL="114300" distR="114300" simplePos="0" relativeHeight="25168076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8076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6alu7cBAABUAwAADgAAAGRycy9lMm9Eb2MueG1srVNLbtswEN0H6B0I&#10;7mspAlK4gumgRZCiQJAWSHIAmiItAvxhSFvyBZIbdNVN9zmXz5EhbTlFswu6oWY4wzfvzYwWl6M1&#10;ZCshau8YPZ/VlEgnfKfdmtGH++uPc0pi4q7jxjvJ6E5Gern8cLYYQisb33vTSSAI4mI7BEb7lEJb&#10;VVH00vI480E6DCoPlid0YV11wAdEt6Zq6vpTNXjoAnghY8Tbq0OQLgu+UlKkH0pFmYhhFLmlckI5&#10;V/mslgveroGHXosjDf4OFpZrh0VPUFc8cbIB/QbKagE+epVmwtvKK6WFLBpQzXn9j5q7ngdZtGBz&#10;Yji1Kf4/WHG7/QlEd4w2lDhucUT7X0/738/7P4+kye0ZQmwx6y5gXhq/+hHHPN1HvMyqRwU2f1EP&#10;wTg2endqrhwTEfnRvJnPawwJjE0O4levzwPE9E16S7LBKOD0SlP59iamQ+qUkqs5f62NKRM0jgyM&#10;fr5oLsqDUwTBjcMaWcSBbLbSuBqPyla+26GwATeAUYcrSon57rDBeVkmAyZjNRmbAHrdl23KTGL4&#10;sknIppDMFQ6wx8I4uiLzuGZ5N/72S9brz7B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7&#10;pqW7twEAAFQDAAAOAAAAAAAAAAEAIAAAAB4BAABkcnMvZTJvRG9jLnhtbFBLBQYAAAAABgAGAFkB&#10;AABHBQAAAAA=&#10;">
              <v:fill on="f" focussize="0,0"/>
              <v:stroke on="f"/>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p>
                </w:txbxContent>
              </v:textbox>
            </v:shape>
          </w:pict>
        </mc:Fallback>
      </mc:AlternateContent>
    </w:r>
    <w:r>
      <w:rPr>
        <w:rFonts w:eastAsia="黑体" w:cs="Calibri"/>
        <w:sz w:val="32"/>
        <w:szCs w:val="40"/>
      </w:rPr>
      <w:tab/>
    </w:r>
  </w:p>
  <w:p>
    <w:pPr>
      <w:pStyle w:val="3"/>
      <w:rPr>
        <w:sz w:val="20"/>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4ABD52"/>
    <w:multiLevelType w:val="singleLevel"/>
    <w:tmpl w:val="9A4ABD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01FEA"/>
    <w:rsid w:val="5C9C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99"/>
    <w:pPr>
      <w:tabs>
        <w:tab w:val="center" w:pos="4153"/>
        <w:tab w:val="right" w:pos="8306"/>
      </w:tabs>
      <w:snapToGrid w:val="0"/>
      <w:jc w:val="left"/>
    </w:pPr>
    <w:rPr>
      <w:sz w:val="18"/>
    </w:rPr>
  </w:style>
  <w:style w:type="paragraph" w:customStyle="1" w:styleId="6">
    <w:name w:val="一级条标题"/>
    <w:next w:val="1"/>
    <w:qFormat/>
    <w:uiPriority w:val="0"/>
    <w:pPr>
      <w:spacing w:beforeLines="50" w:afterLines="50"/>
      <w:ind w:left="283"/>
      <w:outlineLvl w:val="2"/>
    </w:pPr>
    <w:rPr>
      <w:rFonts w:ascii="黑体" w:hAnsi="黑体" w:eastAsia="黑体" w:cs="Times New Roman"/>
      <w:sz w:val="32"/>
      <w:szCs w:val="21"/>
      <w:lang w:val="en-US" w:eastAsia="zh-CN" w:bidi="ar-SA"/>
    </w:rPr>
  </w:style>
  <w:style w:type="paragraph" w:customStyle="1" w:styleId="7">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jpeg"/><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User</cp:lastModifiedBy>
  <dcterms:modified xsi:type="dcterms:W3CDTF">2025-04-18T10:04:15Z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