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exact"/>
        <w:ind w:right="53" w:rightChars="25"/>
        <w:textAlignment w:val="auto"/>
        <w:outlineLvl w:val="9"/>
        <w:rPr>
          <w:rFonts w:hint="default" w:ascii="Times New Roman" w:hAnsi="Times New Roman" w:eastAsia="仿宋_GB2312" w:cs="Times New Roman"/>
          <w:sz w:val="6"/>
          <w:szCs w:val="6"/>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 xml:space="preserve">                               财    </w:t>
      </w:r>
      <w:r>
        <w:rPr>
          <w:rFonts w:hint="default" w:ascii="Times New Roman" w:hAnsi="Times New Roman" w:eastAsia="仿宋_GB2312" w:cs="Times New Roman"/>
          <w:sz w:val="32"/>
          <w:szCs w:val="24"/>
          <w:lang w:eastAsia="zh-CN"/>
        </w:rPr>
        <w:t>政</w:t>
      </w:r>
      <w:r>
        <w:rPr>
          <w:rFonts w:hint="default" w:ascii="Times New Roman" w:hAnsi="Times New Roman" w:eastAsia="仿宋_GB2312" w:cs="Times New Roman"/>
          <w:sz w:val="32"/>
          <w:szCs w:val="24"/>
        </w:rPr>
        <w:t xml:space="preserve">    局</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947" w:firstLineChars="1275"/>
        <w:textAlignment w:val="auto"/>
        <w:outlineLvl w:val="9"/>
        <w:rPr>
          <w:rFonts w:hint="default" w:ascii="Times New Roman" w:hAnsi="Times New Roman" w:eastAsia="仿宋_GB2312" w:cs="Times New Roman"/>
          <w:sz w:val="32"/>
          <w:szCs w:val="24"/>
        </w:rPr>
      </w:pPr>
      <w:r>
        <w:rPr>
          <w:rFonts w:hint="default" w:ascii="Times New Roman" w:hAnsi="Times New Roman" w:eastAsia="仿宋_GB2312" w:cs="Times New Roman"/>
          <w:spacing w:val="34"/>
          <w:sz w:val="32"/>
          <w:szCs w:val="24"/>
          <w:lang w:val="en-US" w:eastAsia="zh-CN"/>
        </w:rPr>
        <w:t>林业和草原局</w:t>
      </w:r>
    </w:p>
    <w:p>
      <w:pPr>
        <w:keepNext w:val="0"/>
        <w:keepLines w:val="0"/>
        <w:pageBreakBefore w:val="0"/>
        <w:widowControl w:val="0"/>
        <w:kinsoku/>
        <w:wordWrap/>
        <w:overflowPunct/>
        <w:topLinePunct w:val="0"/>
        <w:autoSpaceDE/>
        <w:autoSpaceDN/>
        <w:bidi w:val="0"/>
        <w:adjustRightInd/>
        <w:snapToGrid/>
        <w:spacing w:line="520" w:lineRule="exact"/>
        <w:outlineLvl w:val="9"/>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default" w:ascii="Times New Roman" w:hAnsi="Times New Roman" w:eastAsia="仿宋_GB2312" w:cs="Times New Roman"/>
          <w:sz w:val="10"/>
          <w:szCs w:val="10"/>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default" w:ascii="Times New Roman" w:hAnsi="Times New Roman" w:eastAsia="仿宋_GB2312" w:cs="Times New Roman"/>
          <w:sz w:val="10"/>
          <w:szCs w:val="10"/>
        </w:rPr>
      </w:pPr>
    </w:p>
    <w:p>
      <w:pPr>
        <w:keepNext w:val="0"/>
        <w:keepLines w:val="0"/>
        <w:pageBreakBefore w:val="0"/>
        <w:widowControl w:val="0"/>
        <w:kinsoku/>
        <w:wordWrap/>
        <w:overflowPunct/>
        <w:topLinePunct w:val="0"/>
        <w:autoSpaceDE/>
        <w:autoSpaceDN/>
        <w:bidi w:val="0"/>
        <w:adjustRightInd/>
        <w:snapToGrid/>
        <w:spacing w:line="520" w:lineRule="exact"/>
        <w:jc w:val="center"/>
        <w:outlineLvl w:val="9"/>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兵财建〔</w:t>
      </w:r>
      <w:r>
        <w:rPr>
          <w:rFonts w:hint="default" w:ascii="Times New Roman" w:hAnsi="Times New Roman" w:eastAsia="仿宋_GB2312" w:cs="Times New Roman"/>
          <w:sz w:val="32"/>
          <w:szCs w:val="24"/>
          <w:lang w:val="en-US" w:eastAsia="zh-CN"/>
        </w:rPr>
        <w:t>2022</w:t>
      </w:r>
      <w:r>
        <w:rPr>
          <w:rFonts w:hint="default" w:ascii="Times New Roman" w:hAnsi="Times New Roman" w:eastAsia="仿宋_GB2312" w:cs="Times New Roman"/>
          <w:sz w:val="32"/>
          <w:szCs w:val="24"/>
        </w:rPr>
        <w:t>〕</w:t>
      </w:r>
      <w:r>
        <w:rPr>
          <w:rFonts w:hint="default" w:ascii="Times New Roman" w:hAnsi="Times New Roman" w:eastAsia="仿宋_GB2312" w:cs="Times New Roman"/>
          <w:sz w:val="32"/>
          <w:szCs w:val="24"/>
          <w:lang w:val="en-US" w:eastAsia="zh-CN"/>
        </w:rPr>
        <w:t xml:space="preserve">  </w:t>
      </w:r>
      <w:r>
        <w:rPr>
          <w:rFonts w:hint="default" w:ascii="Times New Roman" w:hAnsi="Times New Roman" w:eastAsia="仿宋_GB2312" w:cs="Times New Roman"/>
          <w:sz w:val="32"/>
          <w:szCs w:val="24"/>
        </w:rPr>
        <w:t>号</w:t>
      </w:r>
    </w:p>
    <w:p>
      <w:pPr>
        <w:keepNext w:val="0"/>
        <w:keepLines w:val="0"/>
        <w:pageBreakBefore w:val="0"/>
        <w:widowControl w:val="0"/>
        <w:kinsoku/>
        <w:wordWrap/>
        <w:overflowPunct/>
        <w:topLinePunct w:val="0"/>
        <w:autoSpaceDE/>
        <w:autoSpaceDN/>
        <w:bidi w:val="0"/>
        <w:adjustRightInd/>
        <w:snapToGrid/>
        <w:spacing w:line="520" w:lineRule="exact"/>
        <w:outlineLvl w:val="9"/>
        <w:rPr>
          <w:rFonts w:hint="default" w:ascii="Times New Roman" w:hAnsi="Times New Roman" w:eastAsia="仿宋_GB2312" w:cs="Times New Roman"/>
          <w:sz w:val="32"/>
          <w:szCs w:val="24"/>
        </w:rPr>
      </w:pPr>
    </w:p>
    <w:p>
      <w:pPr>
        <w:keepNext w:val="0"/>
        <w:keepLines w:val="0"/>
        <w:pageBreakBefore w:val="0"/>
        <w:widowControl w:val="0"/>
        <w:kinsoku/>
        <w:wordWrap/>
        <w:overflowPunct/>
        <w:topLinePunct w:val="0"/>
        <w:autoSpaceDE/>
        <w:autoSpaceDN/>
        <w:bidi w:val="0"/>
        <w:adjustRightInd/>
        <w:snapToGrid/>
        <w:spacing w:line="520" w:lineRule="exact"/>
        <w:jc w:val="center"/>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w:t>
      </w:r>
      <w:r>
        <w:rPr>
          <w:rFonts w:hint="default" w:ascii="Times New Roman" w:hAnsi="Times New Roman" w:eastAsia="方正小标宋简体" w:cs="Times New Roman"/>
          <w:sz w:val="44"/>
          <w:szCs w:val="44"/>
          <w:lang w:val="en-US" w:eastAsia="zh-CN"/>
        </w:rPr>
        <w:t>修订</w:t>
      </w:r>
      <w:r>
        <w:rPr>
          <w:rFonts w:hint="default" w:ascii="Times New Roman" w:hAnsi="Times New Roman" w:eastAsia="方正小标宋简体" w:cs="Times New Roman"/>
          <w:sz w:val="44"/>
          <w:szCs w:val="44"/>
        </w:rPr>
        <w:t>《</w:t>
      </w:r>
      <w:r>
        <w:rPr>
          <w:rFonts w:hint="default" w:ascii="Times New Roman" w:hAnsi="Times New Roman" w:eastAsia="方正小标宋简体" w:cs="Times New Roman"/>
          <w:sz w:val="44"/>
          <w:szCs w:val="44"/>
          <w:lang w:eastAsia="zh-CN"/>
        </w:rPr>
        <w:t>新疆生产建设兵团</w:t>
      </w:r>
      <w:r>
        <w:rPr>
          <w:rFonts w:hint="default" w:ascii="Times New Roman" w:hAnsi="Times New Roman" w:eastAsia="方正小标宋简体" w:cs="Times New Roman"/>
          <w:sz w:val="44"/>
          <w:szCs w:val="44"/>
        </w:rPr>
        <w:t>森林植被</w:t>
      </w:r>
    </w:p>
    <w:p>
      <w:pPr>
        <w:keepNext w:val="0"/>
        <w:keepLines w:val="0"/>
        <w:pageBreakBefore w:val="0"/>
        <w:widowControl w:val="0"/>
        <w:kinsoku/>
        <w:wordWrap/>
        <w:overflowPunct/>
        <w:topLinePunct w:val="0"/>
        <w:autoSpaceDE/>
        <w:autoSpaceDN/>
        <w:bidi w:val="0"/>
        <w:adjustRightInd/>
        <w:snapToGrid/>
        <w:spacing w:line="520" w:lineRule="exact"/>
        <w:jc w:val="center"/>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恢复费</w:t>
      </w:r>
      <w:r>
        <w:rPr>
          <w:rFonts w:hint="default" w:ascii="Times New Roman" w:hAnsi="Times New Roman" w:eastAsia="方正小标宋简体" w:cs="Times New Roman"/>
          <w:sz w:val="44"/>
          <w:szCs w:val="44"/>
          <w:highlight w:val="none"/>
          <w:lang w:eastAsia="zh-CN"/>
        </w:rPr>
        <w:t>征收</w:t>
      </w:r>
      <w:r>
        <w:rPr>
          <w:rFonts w:hint="default" w:ascii="Times New Roman" w:hAnsi="Times New Roman" w:eastAsia="方正小标宋简体" w:cs="Times New Roman"/>
          <w:sz w:val="44"/>
          <w:szCs w:val="44"/>
        </w:rPr>
        <w:t>使用管理办法》的通知</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baseline"/>
        <w:outlineLvl w:val="9"/>
        <w:rPr>
          <w:rFonts w:hint="default" w:ascii="Times New Roman" w:hAnsi="Times New Roman" w:eastAsia="方正小标宋简体" w:cs="Times New Roman"/>
          <w:b/>
          <w:sz w:val="44"/>
          <w:szCs w:val="44"/>
        </w:rPr>
      </w:pPr>
    </w:p>
    <w:p>
      <w:pPr>
        <w:keepNext w:val="0"/>
        <w:keepLines w:val="0"/>
        <w:pageBreakBefore w:val="0"/>
        <w:widowControl w:val="0"/>
        <w:kinsoku/>
        <w:wordWrap/>
        <w:overflowPunct/>
        <w:topLinePunct w:val="0"/>
        <w:autoSpaceDE/>
        <w:autoSpaceDN/>
        <w:bidi w:val="0"/>
        <w:adjustRightInd/>
        <w:snapToGrid/>
        <w:spacing w:line="520" w:lineRule="exact"/>
        <w:textAlignment w:val="baseline"/>
        <w:outlineLvl w:val="9"/>
        <w:rPr>
          <w:rFonts w:hint="eastAsia" w:ascii="仿宋" w:hAnsi="仿宋" w:eastAsia="仿宋" w:cs="仿宋"/>
          <w:sz w:val="32"/>
          <w:szCs w:val="20"/>
        </w:rPr>
      </w:pPr>
      <w:r>
        <w:rPr>
          <w:rFonts w:hint="eastAsia" w:ascii="仿宋" w:hAnsi="仿宋" w:eastAsia="仿宋" w:cs="仿宋"/>
          <w:sz w:val="32"/>
          <w:szCs w:val="20"/>
        </w:rPr>
        <w:t>各师</w:t>
      </w:r>
      <w:r>
        <w:rPr>
          <w:rFonts w:hint="eastAsia" w:ascii="仿宋" w:hAnsi="仿宋" w:eastAsia="仿宋" w:cs="仿宋"/>
          <w:sz w:val="32"/>
          <w:szCs w:val="20"/>
          <w:lang w:val="en-US" w:eastAsia="zh-CN"/>
        </w:rPr>
        <w:t>市</w:t>
      </w:r>
      <w:r>
        <w:rPr>
          <w:rFonts w:hint="eastAsia" w:ascii="仿宋" w:hAnsi="仿宋" w:eastAsia="仿宋" w:cs="仿宋"/>
          <w:sz w:val="32"/>
          <w:szCs w:val="20"/>
        </w:rPr>
        <w:t>财</w:t>
      </w:r>
      <w:r>
        <w:rPr>
          <w:rFonts w:hint="eastAsia" w:ascii="仿宋" w:hAnsi="仿宋" w:eastAsia="仿宋" w:cs="仿宋"/>
          <w:sz w:val="32"/>
          <w:szCs w:val="20"/>
          <w:lang w:eastAsia="zh-CN"/>
        </w:rPr>
        <w:t>政</w:t>
      </w:r>
      <w:r>
        <w:rPr>
          <w:rFonts w:hint="eastAsia" w:ascii="仿宋" w:hAnsi="仿宋" w:eastAsia="仿宋" w:cs="仿宋"/>
          <w:sz w:val="32"/>
          <w:szCs w:val="20"/>
        </w:rPr>
        <w:t>局、</w:t>
      </w:r>
      <w:r>
        <w:rPr>
          <w:rFonts w:hint="eastAsia" w:ascii="仿宋" w:hAnsi="仿宋" w:eastAsia="仿宋" w:cs="仿宋"/>
          <w:sz w:val="32"/>
          <w:szCs w:val="20"/>
          <w:lang w:eastAsia="zh-CN"/>
        </w:rPr>
        <w:t>林业和草原</w:t>
      </w:r>
      <w:r>
        <w:rPr>
          <w:rFonts w:hint="eastAsia" w:ascii="仿宋" w:hAnsi="仿宋" w:eastAsia="仿宋" w:cs="仿宋"/>
          <w:sz w:val="32"/>
          <w:szCs w:val="20"/>
        </w:rPr>
        <w:t>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baseline"/>
        <w:outlineLvl w:val="9"/>
        <w:rPr>
          <w:rFonts w:hint="eastAsia" w:ascii="仿宋" w:hAnsi="仿宋" w:eastAsia="仿宋" w:cs="仿宋"/>
          <w:sz w:val="32"/>
          <w:szCs w:val="20"/>
        </w:rPr>
      </w:pPr>
      <w:r>
        <w:rPr>
          <w:rFonts w:hint="eastAsia" w:ascii="仿宋" w:hAnsi="仿宋" w:eastAsia="仿宋" w:cs="仿宋"/>
          <w:sz w:val="32"/>
          <w:szCs w:val="32"/>
        </w:rPr>
        <w:t>为进一步规范和加强</w:t>
      </w:r>
      <w:r>
        <w:rPr>
          <w:rFonts w:hint="eastAsia" w:ascii="仿宋" w:hAnsi="仿宋" w:eastAsia="仿宋" w:cs="仿宋"/>
          <w:sz w:val="32"/>
          <w:szCs w:val="32"/>
          <w:lang w:eastAsia="zh-CN"/>
        </w:rPr>
        <w:t>森林植被恢复费</w:t>
      </w:r>
      <w:r>
        <w:rPr>
          <w:rFonts w:hint="eastAsia" w:ascii="仿宋" w:hAnsi="仿宋" w:eastAsia="仿宋" w:cs="仿宋"/>
          <w:sz w:val="32"/>
          <w:szCs w:val="32"/>
        </w:rPr>
        <w:t>的</w:t>
      </w:r>
      <w:r>
        <w:rPr>
          <w:rFonts w:hint="eastAsia" w:ascii="仿宋" w:hAnsi="仿宋" w:eastAsia="仿宋" w:cs="仿宋"/>
          <w:sz w:val="32"/>
          <w:szCs w:val="32"/>
          <w:lang w:eastAsia="zh-CN"/>
        </w:rPr>
        <w:t>征收</w:t>
      </w:r>
      <w:r>
        <w:rPr>
          <w:rFonts w:hint="eastAsia" w:ascii="仿宋" w:hAnsi="仿宋" w:eastAsia="仿宋" w:cs="仿宋"/>
          <w:sz w:val="32"/>
          <w:szCs w:val="32"/>
        </w:rPr>
        <w:t>使用管理，提高资金的使用效益，</w:t>
      </w:r>
      <w:r>
        <w:rPr>
          <w:rFonts w:hint="eastAsia" w:ascii="仿宋" w:hAnsi="仿宋" w:eastAsia="仿宋" w:cs="仿宋"/>
          <w:sz w:val="32"/>
          <w:szCs w:val="32"/>
          <w:lang w:val="en-US" w:eastAsia="zh-CN"/>
        </w:rPr>
        <w:t>现将修订后的</w:t>
      </w:r>
      <w:r>
        <w:rPr>
          <w:rFonts w:hint="eastAsia" w:ascii="仿宋" w:hAnsi="仿宋" w:eastAsia="仿宋" w:cs="仿宋"/>
          <w:sz w:val="32"/>
          <w:szCs w:val="20"/>
        </w:rPr>
        <w:t>《</w:t>
      </w:r>
      <w:r>
        <w:rPr>
          <w:rFonts w:hint="eastAsia" w:ascii="仿宋" w:hAnsi="仿宋" w:eastAsia="仿宋" w:cs="仿宋"/>
          <w:sz w:val="32"/>
          <w:szCs w:val="32"/>
        </w:rPr>
        <w:t>新疆生产建设兵团森林植被恢复费征收使用管理办法》</w:t>
      </w:r>
      <w:r>
        <w:rPr>
          <w:rFonts w:hint="eastAsia" w:ascii="仿宋" w:hAnsi="仿宋" w:eastAsia="仿宋" w:cs="仿宋"/>
          <w:sz w:val="32"/>
          <w:szCs w:val="20"/>
        </w:rPr>
        <w:t>印发</w:t>
      </w:r>
      <w:r>
        <w:rPr>
          <w:rFonts w:hint="eastAsia" w:ascii="仿宋" w:hAnsi="仿宋" w:eastAsia="仿宋" w:cs="仿宋"/>
          <w:sz w:val="32"/>
          <w:szCs w:val="20"/>
          <w:lang w:eastAsia="zh-CN"/>
        </w:rPr>
        <w:t>给</w:t>
      </w:r>
      <w:r>
        <w:rPr>
          <w:rFonts w:hint="eastAsia" w:ascii="仿宋" w:hAnsi="仿宋" w:eastAsia="仿宋" w:cs="仿宋"/>
          <w:sz w:val="32"/>
          <w:szCs w:val="20"/>
        </w:rPr>
        <w:t>你们，请遵照执行。</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baseline"/>
        <w:outlineLvl w:val="9"/>
        <w:rPr>
          <w:rFonts w:hint="eastAsia" w:ascii="仿宋" w:hAnsi="仿宋" w:eastAsia="仿宋" w:cs="仿宋"/>
          <w:szCs w:val="20"/>
        </w:rPr>
      </w:pPr>
    </w:p>
    <w:p>
      <w:pPr>
        <w:keepNext w:val="0"/>
        <w:keepLines w:val="0"/>
        <w:pageBreakBefore w:val="0"/>
        <w:widowControl w:val="0"/>
        <w:tabs>
          <w:tab w:val="left" w:pos="6840"/>
          <w:tab w:val="left" w:pos="7020"/>
        </w:tabs>
        <w:kinsoku/>
        <w:wordWrap/>
        <w:overflowPunct/>
        <w:topLinePunct w:val="0"/>
        <w:autoSpaceDE/>
        <w:autoSpaceDN/>
        <w:bidi w:val="0"/>
        <w:adjustRightInd/>
        <w:snapToGrid/>
        <w:spacing w:line="520" w:lineRule="exact"/>
        <w:ind w:left="1598" w:leftChars="304" w:hanging="960" w:hangingChars="300"/>
        <w:textAlignment w:val="baseline"/>
        <w:outlineLvl w:val="9"/>
        <w:rPr>
          <w:rFonts w:hint="eastAsia" w:ascii="仿宋" w:hAnsi="仿宋" w:eastAsia="仿宋" w:cs="仿宋"/>
          <w:szCs w:val="20"/>
        </w:rPr>
      </w:pPr>
      <w:r>
        <w:rPr>
          <w:rFonts w:hint="eastAsia" w:ascii="仿宋" w:hAnsi="仿宋" w:eastAsia="仿宋" w:cs="仿宋"/>
          <w:sz w:val="32"/>
          <w:szCs w:val="32"/>
        </w:rPr>
        <w:t>附件：新疆生产建设兵团</w:t>
      </w:r>
      <w:r>
        <w:rPr>
          <w:rFonts w:hint="eastAsia" w:ascii="仿宋" w:hAnsi="仿宋" w:eastAsia="仿宋" w:cs="仿宋"/>
          <w:sz w:val="32"/>
          <w:szCs w:val="32"/>
          <w:lang w:eastAsia="zh-CN"/>
        </w:rPr>
        <w:t>森林植被恢复费征收</w:t>
      </w:r>
      <w:r>
        <w:rPr>
          <w:rFonts w:hint="eastAsia" w:ascii="仿宋" w:hAnsi="仿宋" w:eastAsia="仿宋" w:cs="仿宋"/>
          <w:sz w:val="32"/>
          <w:szCs w:val="32"/>
        </w:rPr>
        <w:t>使用管理办法</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baseline"/>
        <w:outlineLvl w:val="9"/>
        <w:rPr>
          <w:rFonts w:hint="eastAsia" w:ascii="仿宋" w:hAnsi="仿宋" w:eastAsia="仿宋" w:cs="仿宋"/>
          <w:szCs w:val="20"/>
        </w:rPr>
      </w:pP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baseline"/>
        <w:outlineLvl w:val="9"/>
        <w:rPr>
          <w:rFonts w:hint="eastAsia" w:ascii="仿宋" w:hAnsi="仿宋" w:eastAsia="仿宋" w:cs="仿宋"/>
          <w:szCs w:val="20"/>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baseline"/>
        <w:outlineLvl w:val="9"/>
        <w:rPr>
          <w:rFonts w:hint="default" w:ascii="Times New Roman" w:hAnsi="Times New Roman" w:eastAsia="方正仿宋简体" w:cs="Times New Roman"/>
          <w:sz w:val="32"/>
          <w:szCs w:val="32"/>
        </w:rPr>
      </w:pPr>
      <w:r>
        <w:rPr>
          <w:rFonts w:hint="eastAsia" w:ascii="仿宋" w:hAnsi="仿宋" w:eastAsia="仿宋" w:cs="仿宋"/>
          <w:sz w:val="32"/>
          <w:szCs w:val="32"/>
        </w:rPr>
        <w:t>兵团财</w:t>
      </w:r>
      <w:r>
        <w:rPr>
          <w:rFonts w:hint="eastAsia" w:ascii="仿宋" w:hAnsi="仿宋" w:eastAsia="仿宋" w:cs="仿宋"/>
          <w:sz w:val="32"/>
          <w:szCs w:val="32"/>
          <w:lang w:eastAsia="zh-CN"/>
        </w:rPr>
        <w:t>政</w:t>
      </w:r>
      <w:r>
        <w:rPr>
          <w:rFonts w:hint="eastAsia" w:ascii="仿宋" w:hAnsi="仿宋" w:eastAsia="仿宋" w:cs="仿宋"/>
          <w:sz w:val="32"/>
          <w:szCs w:val="32"/>
        </w:rPr>
        <w:t>局       兵团</w:t>
      </w:r>
      <w:r>
        <w:rPr>
          <w:rFonts w:hint="eastAsia" w:ascii="仿宋" w:hAnsi="仿宋" w:eastAsia="仿宋" w:cs="仿宋"/>
          <w:sz w:val="32"/>
          <w:szCs w:val="32"/>
          <w:lang w:eastAsia="zh-CN"/>
        </w:rPr>
        <w:t>林业和草原</w:t>
      </w:r>
      <w:r>
        <w:rPr>
          <w:rFonts w:hint="eastAsia" w:ascii="仿宋" w:hAnsi="仿宋" w:eastAsia="仿宋" w:cs="仿宋"/>
          <w:sz w:val="32"/>
          <w:szCs w:val="32"/>
        </w:rPr>
        <w:t xml:space="preserve">局  </w:t>
      </w:r>
      <w:r>
        <w:rPr>
          <w:rFonts w:hint="default" w:ascii="Times New Roman" w:hAnsi="Times New Roman" w:eastAsia="方正仿宋简体"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640" w:firstLineChars="1450"/>
        <w:textAlignment w:val="baseline"/>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22</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月</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firstLine="1995" w:firstLineChars="950"/>
        <w:textAlignment w:val="baseline"/>
        <w:outlineLvl w:val="9"/>
        <w:rPr>
          <w:rFonts w:hint="default" w:ascii="Times New Roman" w:hAnsi="Times New Roman" w:eastAsia="方正仿宋简体" w:cs="Times New Roman"/>
          <w:szCs w:val="20"/>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sectPr>
          <w:footerReference r:id="rId3" w:type="default"/>
          <w:pgSz w:w="11906" w:h="16838"/>
          <w:pgMar w:top="1440" w:right="1800" w:bottom="1440" w:left="1800"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p>
    <w:tbl>
      <w:tblPr>
        <w:tblStyle w:val="5"/>
        <w:tblpPr w:leftFromText="180" w:rightFromText="180" w:vertAnchor="text" w:horzAnchor="page" w:tblpX="1601" w:tblpY="485"/>
        <w:tblOverlap w:val="never"/>
        <w:tblW w:w="8845" w:type="dxa"/>
        <w:tblInd w:w="0" w:type="dxa"/>
        <w:tblBorders>
          <w:top w:val="single" w:color="auto" w:sz="8" w:space="0"/>
          <w:left w:val="none" w:color="auto" w:sz="0" w:space="0"/>
          <w:bottom w:val="single" w:color="auto" w:sz="8" w:space="0"/>
          <w:right w:val="none" w:color="auto" w:sz="0" w:space="0"/>
          <w:insideH w:val="single" w:color="auto" w:sz="6" w:space="0"/>
          <w:insideV w:val="none" w:color="auto" w:sz="0" w:space="0"/>
        </w:tblBorders>
        <w:tblLayout w:type="fixed"/>
        <w:tblCellMar>
          <w:top w:w="0" w:type="dxa"/>
          <w:left w:w="0" w:type="dxa"/>
          <w:bottom w:w="0" w:type="dxa"/>
          <w:right w:w="0" w:type="dxa"/>
        </w:tblCellMar>
      </w:tblPr>
      <w:tblGrid>
        <w:gridCol w:w="20"/>
        <w:gridCol w:w="4374"/>
        <w:gridCol w:w="4115"/>
        <w:gridCol w:w="336"/>
      </w:tblGrid>
      <w:tr>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0" w:type="dxa"/>
            <w:bottom w:w="0" w:type="dxa"/>
            <w:right w:w="0" w:type="dxa"/>
          </w:tblCellMar>
        </w:tblPrEx>
        <w:trPr>
          <w:trHeight w:val="624" w:hRule="atLeast"/>
        </w:trPr>
        <w:tc>
          <w:tcPr>
            <w:tcW w:w="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20" w:lineRule="exact"/>
              <w:jc w:val="center"/>
              <w:outlineLvl w:val="9"/>
              <w:rPr>
                <w:rFonts w:hint="default" w:ascii="Times New Roman" w:hAnsi="Times New Roman" w:cs="Times New Roman"/>
                <w:spacing w:val="-6"/>
                <w:sz w:val="28"/>
                <w:szCs w:val="28"/>
              </w:rPr>
            </w:pPr>
          </w:p>
        </w:tc>
        <w:tc>
          <w:tcPr>
            <w:tcW w:w="437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20" w:lineRule="exact"/>
              <w:ind w:left="801" w:leftChars="186" w:hanging="410" w:hangingChars="153"/>
              <w:outlineLvl w:val="9"/>
              <w:rPr>
                <w:rFonts w:hint="default" w:ascii="Times New Roman" w:hAnsi="Times New Roman" w:eastAsia="方正仿宋简体" w:cs="Times New Roman"/>
                <w:spacing w:val="-6"/>
                <w:sz w:val="28"/>
                <w:szCs w:val="28"/>
              </w:rPr>
            </w:pPr>
            <w:r>
              <w:rPr>
                <w:rFonts w:hint="eastAsia" w:ascii="仿宋" w:hAnsi="仿宋" w:eastAsia="仿宋" w:cs="仿宋"/>
                <w:spacing w:val="-6"/>
                <w:sz w:val="28"/>
                <w:szCs w:val="28"/>
              </w:rPr>
              <w:t>新疆生产建设兵团财</w:t>
            </w:r>
            <w:r>
              <w:rPr>
                <w:rFonts w:hint="eastAsia" w:ascii="仿宋" w:hAnsi="仿宋" w:eastAsia="仿宋" w:cs="仿宋"/>
                <w:spacing w:val="-6"/>
                <w:sz w:val="28"/>
                <w:szCs w:val="28"/>
                <w:lang w:eastAsia="zh-CN"/>
              </w:rPr>
              <w:t>政</w:t>
            </w:r>
            <w:r>
              <w:rPr>
                <w:rFonts w:hint="eastAsia" w:ascii="仿宋" w:hAnsi="仿宋" w:eastAsia="仿宋" w:cs="仿宋"/>
                <w:spacing w:val="-6"/>
                <w:sz w:val="28"/>
                <w:szCs w:val="28"/>
              </w:rPr>
              <w:t>局</w:t>
            </w:r>
          </w:p>
        </w:tc>
        <w:tc>
          <w:tcPr>
            <w:tcW w:w="41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20" w:lineRule="exact"/>
              <w:ind w:left="801" w:leftChars="186" w:hanging="410" w:hangingChars="153"/>
              <w:jc w:val="right"/>
              <w:outlineLvl w:val="9"/>
              <w:rPr>
                <w:rFonts w:hint="default" w:ascii="Times New Roman" w:hAnsi="Times New Roman" w:eastAsia="方正仿宋简体" w:cs="Times New Roman"/>
                <w:spacing w:val="-6"/>
                <w:sz w:val="28"/>
                <w:szCs w:val="28"/>
              </w:rPr>
            </w:pPr>
            <w:r>
              <w:rPr>
                <w:rFonts w:hint="default" w:ascii="Times New Roman" w:hAnsi="Times New Roman" w:eastAsia="仿宋" w:cs="Times New Roman"/>
                <w:spacing w:val="-6"/>
                <w:sz w:val="28"/>
                <w:szCs w:val="28"/>
                <w:lang w:val="en-US" w:eastAsia="zh-CN"/>
              </w:rPr>
              <w:t>2022</w:t>
            </w:r>
            <w:r>
              <w:rPr>
                <w:rFonts w:hint="default" w:ascii="Times New Roman" w:hAnsi="Times New Roman" w:eastAsia="仿宋" w:cs="Times New Roman"/>
                <w:spacing w:val="-6"/>
                <w:sz w:val="28"/>
                <w:szCs w:val="28"/>
              </w:rPr>
              <w:t>年</w:t>
            </w:r>
            <w:r>
              <w:rPr>
                <w:rFonts w:hint="default" w:ascii="Times New Roman" w:hAnsi="Times New Roman" w:eastAsia="仿宋" w:cs="Times New Roman"/>
                <w:spacing w:val="-6"/>
                <w:sz w:val="28"/>
                <w:szCs w:val="28"/>
                <w:lang w:val="en-US" w:eastAsia="zh-CN"/>
              </w:rPr>
              <w:t>2</w:t>
            </w:r>
            <w:r>
              <w:rPr>
                <w:rFonts w:hint="default" w:ascii="Times New Roman" w:hAnsi="Times New Roman" w:eastAsia="仿宋" w:cs="Times New Roman"/>
                <w:spacing w:val="-6"/>
                <w:sz w:val="28"/>
                <w:szCs w:val="28"/>
              </w:rPr>
              <w:t>月</w:t>
            </w:r>
            <w:r>
              <w:rPr>
                <w:rFonts w:hint="default" w:ascii="Times New Roman" w:hAnsi="Times New Roman" w:eastAsia="仿宋" w:cs="Times New Roman"/>
                <w:spacing w:val="-6"/>
                <w:sz w:val="28"/>
                <w:szCs w:val="28"/>
                <w:lang w:val="en-US" w:eastAsia="zh-CN"/>
              </w:rPr>
              <w:t xml:space="preserve"> </w:t>
            </w:r>
            <w:r>
              <w:rPr>
                <w:rFonts w:hint="default" w:ascii="Times New Roman" w:hAnsi="Times New Roman" w:eastAsia="仿宋" w:cs="Times New Roman"/>
                <w:spacing w:val="-6"/>
                <w:sz w:val="28"/>
                <w:szCs w:val="28"/>
              </w:rPr>
              <w:t>日印发</w:t>
            </w:r>
          </w:p>
        </w:tc>
        <w:tc>
          <w:tcPr>
            <w:tcW w:w="33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20" w:lineRule="exact"/>
              <w:ind w:left="801" w:leftChars="186" w:hanging="410" w:hangingChars="153"/>
              <w:jc w:val="center"/>
              <w:outlineLvl w:val="9"/>
              <w:rPr>
                <w:rFonts w:hint="default" w:ascii="Times New Roman" w:hAnsi="Times New Roman" w:eastAsia="方正仿宋简体" w:cs="Times New Roman"/>
                <w:spacing w:val="-6"/>
                <w:sz w:val="28"/>
                <w:szCs w:val="28"/>
              </w:rPr>
            </w:pPr>
          </w:p>
        </w:tc>
      </w:tr>
    </w:tbl>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新疆生产建设兵团森林植被恢复费</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征收使用管理办法</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 xml:space="preserve">第一条  </w:t>
      </w:r>
      <w:r>
        <w:rPr>
          <w:rFonts w:hint="default" w:ascii="Times New Roman" w:hAnsi="Times New Roman" w:eastAsia="仿宋" w:cs="Times New Roman"/>
          <w:sz w:val="32"/>
          <w:szCs w:val="32"/>
        </w:rPr>
        <w:t>为保护森林资源，提高资金使用效益，促进兵团林业可持续发展，根据《中华人民共和国森林法》《中华人民共和国森林法实施条例》（国务院令第278号）《建设项目使用林地审核审批管理办法》（国家林业局第35号令）《森林植被恢复费征收使用管理暂行办法》（财综〔2002〕73号）和《新疆生产建设兵团财政专项资金管理办法》（新兵发〔2020〕10号）有关规定，结合兵团实际，制定本办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kern w:val="0"/>
          <w:sz w:val="32"/>
          <w:szCs w:val="32"/>
        </w:rPr>
      </w:pPr>
      <w:r>
        <w:rPr>
          <w:rFonts w:hint="default" w:ascii="Times New Roman" w:hAnsi="Times New Roman" w:eastAsia="楷体" w:cs="Times New Roman"/>
          <w:b/>
          <w:sz w:val="32"/>
          <w:szCs w:val="32"/>
        </w:rPr>
        <w:t xml:space="preserve">第二条  </w:t>
      </w:r>
      <w:r>
        <w:rPr>
          <w:rFonts w:hint="default" w:ascii="Times New Roman" w:hAnsi="Times New Roman" w:eastAsia="仿宋" w:cs="Times New Roman"/>
          <w:kern w:val="0"/>
          <w:sz w:val="32"/>
          <w:szCs w:val="32"/>
        </w:rPr>
        <w:t>森林植被恢复费属于专项收入，纳入财政预算管理，实行专款专用，年终结余结转下年安排使用。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 xml:space="preserve">第三条  </w:t>
      </w:r>
      <w:r>
        <w:rPr>
          <w:rFonts w:hint="default" w:ascii="Times New Roman" w:hAnsi="Times New Roman" w:eastAsia="仿宋" w:cs="Times New Roman"/>
          <w:sz w:val="32"/>
          <w:szCs w:val="32"/>
        </w:rPr>
        <w:t>森林植被恢复费由兵团各级财政部门、林草主管部门共同管理。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各级财政部门负责森林植被恢复费收缴、预算审核和资金下达。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各级</w:t>
      </w:r>
      <w:r>
        <w:rPr>
          <w:rFonts w:hint="default" w:ascii="Times New Roman" w:hAnsi="Times New Roman" w:eastAsia="仿宋" w:cs="Times New Roman"/>
          <w:sz w:val="32"/>
          <w:szCs w:val="32"/>
        </w:rPr>
        <w:t>林草主管部门</w:t>
      </w:r>
      <w:r>
        <w:rPr>
          <w:rFonts w:hint="default" w:ascii="Times New Roman" w:hAnsi="Times New Roman" w:eastAsia="仿宋" w:cs="Times New Roman"/>
          <w:kern w:val="0"/>
          <w:sz w:val="32"/>
          <w:szCs w:val="32"/>
        </w:rPr>
        <w:t>负责做好建设项目使用林地缴纳的森林植被恢复费征管工作；提出森林植被恢复费使用方案；对资金使用情况实施监督检查和绩效评价。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征收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kern w:val="0"/>
          <w:sz w:val="32"/>
          <w:szCs w:val="32"/>
        </w:rPr>
      </w:pPr>
      <w:r>
        <w:rPr>
          <w:rFonts w:hint="default" w:ascii="Times New Roman" w:hAnsi="Times New Roman" w:eastAsia="楷体" w:cs="Times New Roman"/>
          <w:b/>
          <w:sz w:val="32"/>
          <w:szCs w:val="32"/>
        </w:rPr>
        <w:t xml:space="preserve">第四条  </w:t>
      </w:r>
      <w:r>
        <w:rPr>
          <w:rFonts w:hint="default" w:ascii="Times New Roman" w:hAnsi="Times New Roman" w:eastAsia="仿宋" w:cs="Times New Roman"/>
          <w:kern w:val="0"/>
          <w:sz w:val="32"/>
          <w:szCs w:val="32"/>
        </w:rPr>
        <w:t>凡勘查、开采矿藏和修建道路、水利、电力、通讯等各项建设工程需要占用、征用或者临时使用林地等改变林地用途的建设行为，用地单位应当按照本办</w:t>
      </w:r>
      <w:r>
        <w:rPr>
          <w:rFonts w:hint="default" w:ascii="Times New Roman" w:hAnsi="Times New Roman" w:cs="Times New Roman"/>
        </w:rPr>
        <w:fldChar w:fldCharType="begin"/>
      </w:r>
      <w:r>
        <w:rPr>
          <w:rFonts w:hint="default" w:ascii="Times New Roman" w:hAnsi="Times New Roman" w:cs="Times New Roman"/>
        </w:rPr>
        <w:instrText xml:space="preserve"> HYPERLINK "http://sifaku.com/falvfagui/" </w:instrText>
      </w:r>
      <w:r>
        <w:rPr>
          <w:rFonts w:hint="default" w:ascii="Times New Roman" w:hAnsi="Times New Roman" w:cs="Times New Roman"/>
        </w:rPr>
        <w:fldChar w:fldCharType="separate"/>
      </w:r>
      <w:r>
        <w:rPr>
          <w:rFonts w:hint="default" w:ascii="Times New Roman" w:hAnsi="Times New Roman" w:eastAsia="仿宋" w:cs="Times New Roman"/>
          <w:kern w:val="0"/>
          <w:sz w:val="32"/>
          <w:szCs w:val="32"/>
        </w:rPr>
        <w:t>法规</w:t>
      </w:r>
      <w:r>
        <w:rPr>
          <w:rFonts w:hint="default" w:ascii="Times New Roman" w:hAnsi="Times New Roman" w:eastAsia="仿宋" w:cs="Times New Roman"/>
          <w:kern w:val="0"/>
          <w:sz w:val="32"/>
          <w:szCs w:val="32"/>
        </w:rPr>
        <w:fldChar w:fldCharType="end"/>
      </w:r>
      <w:r>
        <w:rPr>
          <w:rFonts w:hint="default" w:ascii="Times New Roman" w:hAnsi="Times New Roman" w:eastAsia="仿宋" w:cs="Times New Roman"/>
          <w:kern w:val="0"/>
          <w:sz w:val="32"/>
          <w:szCs w:val="32"/>
        </w:rPr>
        <w:t>定向林草主管部门预缴森林植被恢复费。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b/>
          <w:sz w:val="32"/>
          <w:szCs w:val="32"/>
        </w:rPr>
      </w:pPr>
      <w:r>
        <w:rPr>
          <w:rFonts w:hint="default" w:ascii="Times New Roman" w:hAnsi="Times New Roman" w:eastAsia="楷体" w:cs="Times New Roman"/>
          <w:b/>
          <w:sz w:val="32"/>
          <w:szCs w:val="32"/>
        </w:rPr>
        <w:t xml:space="preserve">第五条  </w:t>
      </w:r>
      <w:r>
        <w:rPr>
          <w:rFonts w:hint="default" w:ascii="Times New Roman" w:hAnsi="Times New Roman" w:eastAsia="仿宋" w:cs="Times New Roman"/>
          <w:sz w:val="32"/>
          <w:szCs w:val="32"/>
        </w:rPr>
        <w:t>森林植被恢复费实行分级征收，具体为：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（一）临时性使用林地的，由师市林草主管部门负责征收。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（二）永久性占用林地或临时性使用跨师域线性工程，由兵团林草主管部门负责征收。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 xml:space="preserve">第六条  </w:t>
      </w:r>
      <w:r>
        <w:rPr>
          <w:rFonts w:hint="default" w:ascii="Times New Roman" w:hAnsi="Times New Roman" w:eastAsia="仿宋" w:cs="Times New Roman"/>
          <w:sz w:val="32"/>
          <w:szCs w:val="32"/>
        </w:rPr>
        <w:t>各级林草主管部门要严格按照国家、兵团规定的范围、标准和时限要求征收森林植被恢复费，不得扩大和缩小收费范围，不得随意提高和降低收费标准，确保及时、足额征缴到位。任何单位和个人不得违反规定，擅自减免或缓征森林植被恢复费，不得自行改变森林植被恢复费的征收对象、范围和标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 xml:space="preserve">第七条  </w:t>
      </w:r>
      <w:r>
        <w:rPr>
          <w:rFonts w:hint="default" w:ascii="Times New Roman" w:hAnsi="Times New Roman" w:eastAsia="仿宋" w:cs="Times New Roman"/>
          <w:sz w:val="32"/>
          <w:szCs w:val="32"/>
        </w:rPr>
        <w:t>森林植被恢复费征收标准应当按照恢复不少于被占用征收林地面积的森林植被所需要的调查规划设计、造林培育、保护管理等费用进行核定。具体征收标准按照《关于调整兵团森林植被恢复费征收标准等有关问题的通知》（兵财综〔2016〕51号）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收缴管理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 xml:space="preserve">第八条  </w:t>
      </w:r>
      <w:r>
        <w:rPr>
          <w:rFonts w:hint="default" w:ascii="Times New Roman" w:hAnsi="Times New Roman" w:eastAsia="仿宋" w:cs="Times New Roman"/>
          <w:sz w:val="32"/>
          <w:szCs w:val="32"/>
        </w:rPr>
        <w:t>各级林草主管部门收取的森林植被恢复费，在兵团非税收入收缴电子化和财政电子票据管理一体化系统中办理缴款。</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第九条</w:t>
      </w:r>
      <w:r>
        <w:rPr>
          <w:rFonts w:hint="default" w:ascii="Times New Roman" w:hAnsi="Times New Roman" w:eastAsia="仿宋" w:cs="Times New Roman"/>
          <w:sz w:val="32"/>
          <w:szCs w:val="32"/>
        </w:rPr>
        <w:t xml:space="preserve">  森林植被恢复费退还: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 永久性占用或者临时使用林地未被批准的。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 使用林地行政许可已批不用和逾期失效后，该行政许可决定书同意使用范围内林地（含林木）未造成破坏的，用地单位可依程序申请退还已缴纳的森林植被恢复费；已造成破坏的，不予退还已缴纳的森林植被恢复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w:t>
      </w:r>
      <w:r>
        <w:rPr>
          <w:rFonts w:hint="eastAsia" w:eastAsia="仿宋" w:cs="Times New Roman"/>
          <w:sz w:val="32"/>
          <w:szCs w:val="32"/>
          <w:lang w:val="en-US" w:eastAsia="zh-CN"/>
        </w:rPr>
        <w:t xml:space="preserve"> </w:t>
      </w:r>
      <w:r>
        <w:rPr>
          <w:rFonts w:hint="default" w:ascii="Times New Roman" w:hAnsi="Times New Roman" w:eastAsia="仿宋" w:cs="Times New Roman"/>
          <w:sz w:val="32"/>
          <w:szCs w:val="32"/>
        </w:rPr>
        <w:t>用地单位以虚假用途涉嫌“圈地”为目的骗取行政许可的，收回林地，不予退还森林植被恢复费。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 w:cs="Times New Roman"/>
          <w:sz w:val="32"/>
          <w:szCs w:val="32"/>
          <w:lang w:val="en-US" w:eastAsia="zh-CN"/>
        </w:rPr>
      </w:pP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四</w:t>
      </w:r>
      <w:r>
        <w:rPr>
          <w:rFonts w:hint="eastAsia" w:ascii="Times New Roman" w:hAnsi="Times New Roman" w:eastAsia="仿宋" w:cs="Times New Roman"/>
          <w:sz w:val="32"/>
          <w:szCs w:val="32"/>
          <w:lang w:eastAsia="zh-CN"/>
        </w:rPr>
        <w:t>）</w:t>
      </w:r>
      <w:r>
        <w:rPr>
          <w:rFonts w:hint="eastAsia" w:eastAsia="仿宋" w:cs="Times New Roman"/>
          <w:sz w:val="32"/>
          <w:szCs w:val="32"/>
          <w:lang w:val="en-US" w:eastAsia="zh-CN"/>
        </w:rPr>
        <w:t>其他经林草局和财政局审核后，确需要退还的森林植被恢复费。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eastAsia="仿宋" w:cs="Times New Roman"/>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使用管理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 xml:space="preserve">第十条  </w:t>
      </w:r>
      <w:r>
        <w:rPr>
          <w:rFonts w:hint="default" w:ascii="Times New Roman" w:hAnsi="Times New Roman" w:eastAsia="仿宋" w:cs="Times New Roman"/>
          <w:sz w:val="32"/>
          <w:szCs w:val="32"/>
        </w:rPr>
        <w:t>森林植被恢复费实行专款专用，专项用于林草部门组织的植树造林、恢复森林植被、森林抚育、资源管理等工作。必须在优先完成占补平衡异地造林面积任务后，依据实际情况，用于其他林业项目支出。主要内容包括：</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（一）造林绿化：主要用于人工造林（生态林、经济林）、更新、改造，退化林分修复及补植补造，中、幼龄林抚育，城镇、连队居住区绿化美化，生态功能脆弱和退化区域的植被恢复；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二</w:t>
      </w:r>
      <w:r>
        <w:rPr>
          <w:rFonts w:hint="default" w:ascii="Times New Roman" w:hAnsi="Times New Roman" w:eastAsia="仿宋" w:cs="Times New Roman"/>
          <w:sz w:val="32"/>
          <w:szCs w:val="32"/>
        </w:rPr>
        <w:t>）森林防火：主要包括森林火灾（火警）扑救，防火隔离带建设，森林火灾预警监测，森林防火设施维护和建设，设备、物资购置，以及森林防火宣传、培训、检查等；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三</w:t>
      </w:r>
      <w:r>
        <w:rPr>
          <w:rFonts w:hint="default" w:ascii="Times New Roman" w:hAnsi="Times New Roman" w:eastAsia="仿宋" w:cs="Times New Roman"/>
          <w:sz w:val="32"/>
          <w:szCs w:val="32"/>
        </w:rPr>
        <w:t>）林草有害生物防治：主要包括林草有害生物监测预警、防治、物资设备购置、药剂采购检疫，防控宣传，</w:t>
      </w:r>
      <w:r>
        <w:rPr>
          <w:rFonts w:hint="default" w:ascii="Times New Roman" w:hAnsi="Times New Roman" w:eastAsia="仿宋" w:cs="Times New Roman"/>
          <w:sz w:val="32"/>
          <w:szCs w:val="32"/>
          <w:lang w:val="en-US" w:eastAsia="zh-CN"/>
        </w:rPr>
        <w:t>林业</w:t>
      </w:r>
      <w:r>
        <w:rPr>
          <w:rFonts w:hint="default" w:ascii="Times New Roman" w:hAnsi="Times New Roman" w:eastAsia="仿宋" w:cs="Times New Roman"/>
          <w:sz w:val="32"/>
          <w:szCs w:val="32"/>
        </w:rPr>
        <w:t>有害生物普查以及突发性病虫害预防和救治；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四</w:t>
      </w:r>
      <w:r>
        <w:rPr>
          <w:rFonts w:hint="default" w:ascii="Times New Roman" w:hAnsi="Times New Roman" w:eastAsia="仿宋" w:cs="Times New Roman"/>
          <w:sz w:val="32"/>
          <w:szCs w:val="32"/>
        </w:rPr>
        <w:t>）森林资源管护：主要用于森林资源的普查、保护、森林生态系统损害（技术）鉴定、管理，森林资源保护设施维护建设和设备购置；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五</w:t>
      </w:r>
      <w:r>
        <w:rPr>
          <w:rFonts w:hint="default" w:ascii="Times New Roman" w:hAnsi="Times New Roman" w:eastAsia="仿宋" w:cs="Times New Roman"/>
          <w:sz w:val="32"/>
          <w:szCs w:val="32"/>
        </w:rPr>
        <w:t>）资源勘查监测：主要包括林草主管部门组织开展的森林资源现状和变化情况监测评价，生态综合监测、重点林业工程项目检查、评估</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绩效评价</w:t>
      </w:r>
      <w:r>
        <w:rPr>
          <w:rFonts w:hint="default" w:ascii="Times New Roman" w:hAnsi="Times New Roman" w:eastAsia="仿宋" w:cs="Times New Roman"/>
          <w:sz w:val="32"/>
          <w:szCs w:val="32"/>
        </w:rPr>
        <w:t>等方面；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六</w:t>
      </w:r>
      <w:r>
        <w:rPr>
          <w:rFonts w:hint="default" w:ascii="Times New Roman" w:hAnsi="Times New Roman" w:eastAsia="仿宋" w:cs="Times New Roman"/>
          <w:sz w:val="32"/>
          <w:szCs w:val="32"/>
        </w:rPr>
        <w:t>）调查规划：主要用于林草主管部门组织开展的专业性森林资源调查，重点涉林规划、方案和设计编制</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造林上图</w:t>
      </w:r>
      <w:r>
        <w:rPr>
          <w:rFonts w:hint="default" w:ascii="Times New Roman" w:hAnsi="Times New Roman" w:eastAsia="仿宋" w:cs="Times New Roman"/>
          <w:sz w:val="32"/>
          <w:szCs w:val="32"/>
        </w:rPr>
        <w:t>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（七）森林植被恢复技术的研究、示范推广：主要用于森林植被恢复的基础性研究和新成果的推广、示范和应用。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 xml:space="preserve">第十一条  </w:t>
      </w:r>
      <w:r>
        <w:rPr>
          <w:rFonts w:hint="default" w:ascii="Times New Roman" w:hAnsi="Times New Roman" w:eastAsia="仿宋" w:cs="Times New Roman"/>
          <w:sz w:val="32"/>
          <w:szCs w:val="32"/>
        </w:rPr>
        <w:t>兵团本级收取的森林植被恢复费，80%部分返还给被占用林地所在师市，由师市统筹使用。</w:t>
      </w:r>
      <w:r>
        <w:rPr>
          <w:rFonts w:hint="default" w:ascii="Times New Roman" w:hAnsi="Times New Roman" w:eastAsia="仿宋" w:cs="Times New Roman"/>
          <w:sz w:val="32"/>
          <w:szCs w:val="32"/>
          <w:lang w:val="en-US" w:eastAsia="zh-CN"/>
        </w:rPr>
        <w:t>不低于</w:t>
      </w:r>
      <w:r>
        <w:rPr>
          <w:rFonts w:hint="eastAsia" w:eastAsia="仿宋" w:cs="Times New Roman"/>
          <w:sz w:val="32"/>
          <w:szCs w:val="32"/>
          <w:lang w:val="en-US" w:eastAsia="zh-CN"/>
        </w:rPr>
        <w:t>1</w:t>
      </w:r>
      <w:bookmarkStart w:id="0" w:name="_GoBack"/>
      <w:bookmarkEnd w:id="0"/>
      <w:r>
        <w:rPr>
          <w:rFonts w:hint="default" w:ascii="Times New Roman" w:hAnsi="Times New Roman" w:eastAsia="仿宋" w:cs="Times New Roman"/>
          <w:sz w:val="32"/>
          <w:szCs w:val="32"/>
          <w:lang w:val="en-US" w:eastAsia="zh-CN"/>
        </w:rPr>
        <w:t>7%部分用于森林植被恢复费绩效评价、林长制考核结果奖励、通过国家林业和草原局竞争性评审的重大林业项目配套资金补助，剩余资金由</w:t>
      </w:r>
      <w:r>
        <w:rPr>
          <w:rFonts w:hint="default" w:ascii="Times New Roman" w:hAnsi="Times New Roman" w:eastAsia="仿宋" w:cs="Times New Roman"/>
          <w:sz w:val="32"/>
          <w:szCs w:val="32"/>
        </w:rPr>
        <w:t>兵团本级</w:t>
      </w:r>
      <w:r>
        <w:rPr>
          <w:rFonts w:hint="default" w:ascii="Times New Roman" w:hAnsi="Times New Roman" w:eastAsia="仿宋" w:cs="Times New Roman"/>
          <w:sz w:val="32"/>
          <w:szCs w:val="32"/>
          <w:lang w:val="en-US" w:eastAsia="zh-CN"/>
        </w:rPr>
        <w:t>统筹</w:t>
      </w:r>
      <w:r>
        <w:rPr>
          <w:rFonts w:hint="default" w:ascii="Times New Roman" w:hAnsi="Times New Roman" w:eastAsia="仿宋" w:cs="Times New Roman"/>
          <w:sz w:val="32"/>
          <w:szCs w:val="32"/>
        </w:rPr>
        <w:t>使用。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 xml:space="preserve">第十二条  </w:t>
      </w:r>
      <w:r>
        <w:rPr>
          <w:rFonts w:hint="default" w:ascii="Times New Roman" w:hAnsi="Times New Roman" w:eastAsia="仿宋" w:cs="Times New Roman"/>
          <w:sz w:val="32"/>
          <w:szCs w:val="32"/>
        </w:rPr>
        <w:t>异地造林必须符合造林技术规程，并在造林任务完成后结合年度造林绿化落地上图工作完成异地造林落地上图和森林资源一张图变更工作。异地造林、管护等所需费用按照实际情况确定。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 xml:space="preserve">第十三条  </w:t>
      </w:r>
      <w:r>
        <w:rPr>
          <w:rFonts w:hint="default" w:ascii="Times New Roman" w:hAnsi="Times New Roman" w:eastAsia="仿宋" w:cs="Times New Roman"/>
          <w:sz w:val="32"/>
          <w:szCs w:val="32"/>
        </w:rPr>
        <w:t>各级林草主管部门要根据年度已批准的建设项目使用林地面积，制定专项植被恢复计划，在两年内组织完成植被恢复工作。植被恢复必须编制造林绿化作业设计和资金分配方案，经林草主管部门和财政部门联合批复后实施。异地造林不得与其他林业工程相互套用。师市林草主管部门负责所属单位植被恢复的检查验收，兵团林业和草原局根据需要对植被恢复单位进行抽查复验。</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监督检查与责任追究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z w:val="32"/>
          <w:szCs w:val="32"/>
        </w:rPr>
      </w:pPr>
      <w:r>
        <w:rPr>
          <w:rStyle w:val="7"/>
          <w:rFonts w:hint="default" w:ascii="Times New Roman" w:hAnsi="Times New Roman" w:eastAsia="楷体" w:cs="Times New Roman"/>
          <w:kern w:val="0"/>
          <w:sz w:val="32"/>
          <w:szCs w:val="32"/>
        </w:rPr>
        <w:t xml:space="preserve">第十四条  </w:t>
      </w:r>
      <w:r>
        <w:rPr>
          <w:rFonts w:hint="default" w:ascii="Times New Roman" w:hAnsi="Times New Roman" w:eastAsia="仿宋" w:cs="Times New Roman"/>
          <w:sz w:val="32"/>
          <w:szCs w:val="32"/>
        </w:rPr>
        <w:t>森林植被恢复费的征收、使用和管理应当接受林业和草原、财政、审计部门的监督检查。兵团林业和草原局、财政局每年对森林植被恢复费项目资金的使用情况进行检查验收，并定期组织抽查。</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z w:val="32"/>
          <w:szCs w:val="32"/>
        </w:rPr>
      </w:pPr>
      <w:r>
        <w:rPr>
          <w:rStyle w:val="7"/>
          <w:rFonts w:hint="default" w:ascii="Times New Roman" w:hAnsi="Times New Roman" w:eastAsia="楷体" w:cs="Times New Roman"/>
          <w:kern w:val="0"/>
          <w:sz w:val="32"/>
          <w:szCs w:val="32"/>
        </w:rPr>
        <w:t xml:space="preserve">第十五条  </w:t>
      </w:r>
      <w:r>
        <w:rPr>
          <w:rFonts w:hint="default" w:ascii="Times New Roman" w:hAnsi="Times New Roman" w:eastAsia="仿宋" w:cs="Times New Roman"/>
          <w:sz w:val="32"/>
          <w:szCs w:val="32"/>
        </w:rPr>
        <w:t>占用或者临时使用林地的单位和个人不按照本办法规定缴纳森林植被恢复费，师级林草主管部门违反本办法规定，多收、减收、免收、缓收，或者隐瞒、截留、挪用、坐收坐支森林植被恢复费，由上级或同级财政部门会同有关部门责令整改，并按照有关法律、行政法规的规定进行处罚。违规行为涉及的主管人员和其他直接责任人员，按照相关规定给予行政处分；构成犯罪的，移交司法机关依法追究其刑事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  绩效管理与信息公开</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 xml:space="preserve">第十六条  </w:t>
      </w:r>
      <w:r>
        <w:rPr>
          <w:rFonts w:hint="default" w:ascii="Times New Roman" w:hAnsi="Times New Roman" w:eastAsia="仿宋" w:cs="Times New Roman"/>
          <w:sz w:val="32"/>
          <w:szCs w:val="32"/>
        </w:rPr>
        <w:t>森林植被恢复费的使用管理纳入财政专项资金预算绩效管理，绩效评价结果将作为资金分配的重要依据。各级</w:t>
      </w:r>
      <w:r>
        <w:rPr>
          <w:rFonts w:hint="eastAsia" w:eastAsia="仿宋" w:cs="Times New Roman"/>
          <w:sz w:val="32"/>
          <w:szCs w:val="32"/>
          <w:lang w:val="en-US" w:eastAsia="zh-CN"/>
        </w:rPr>
        <w:t>林业</w:t>
      </w:r>
      <w:r>
        <w:rPr>
          <w:rFonts w:hint="default" w:ascii="Times New Roman" w:hAnsi="Times New Roman" w:eastAsia="仿宋" w:cs="Times New Roman"/>
          <w:sz w:val="32"/>
          <w:szCs w:val="32"/>
        </w:rPr>
        <w:t>主管部门对森林植被恢复费实施全过程预算绩效管理，按照“分级管理、分级负责，谁申请资金、谁设定目标”的原则，各级项目主管部门应当按照确定的绩效目标对专项资金进行跟踪和评价，按照要求向同级财政部门提交绩效评价报告，并将绩效评价结果作为资金分配的重要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师市林草局会同师市财政部门要强化资金管理，细化绩效目标，并于15个工作日内将资金分配方案及绩效目标报兵团林草局和兵团财政局备案。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 xml:space="preserve">第十七条  </w:t>
      </w:r>
      <w:r>
        <w:rPr>
          <w:rFonts w:hint="default" w:ascii="Times New Roman" w:hAnsi="Times New Roman" w:eastAsia="仿宋" w:cs="Times New Roman"/>
          <w:sz w:val="32"/>
          <w:szCs w:val="32"/>
        </w:rPr>
        <w:t>绩效目标应当清晰反映森林植被恢复费的预期产出和效果，与任务数相对应，与资金量相匹配，从数量、质量、时效、成本以及经济效益、社会效益、生态效益、可持续影响、满意度等方面进行细化。</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 xml:space="preserve">第十八条  </w:t>
      </w:r>
      <w:r>
        <w:rPr>
          <w:rFonts w:hint="default" w:ascii="Times New Roman" w:hAnsi="Times New Roman" w:eastAsia="仿宋" w:cs="Times New Roman"/>
          <w:sz w:val="32"/>
          <w:szCs w:val="32"/>
        </w:rPr>
        <w:t>各级林草主管部门会同财政部门，根据工作需要开展绩效目标的执行监控，重点监控森林植被恢复费的使用是否符合资金下达时确定的绩效目标。发现绩效运行与原定绩效目标发生偏离时，及时采取措施予以纠正。</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 xml:space="preserve">第十九条  </w:t>
      </w:r>
      <w:r>
        <w:rPr>
          <w:rFonts w:hint="default" w:ascii="Times New Roman" w:hAnsi="Times New Roman" w:eastAsia="仿宋" w:cs="Times New Roman"/>
          <w:sz w:val="32"/>
          <w:szCs w:val="32"/>
        </w:rPr>
        <w:t>各级林草主管部门要依法做好建设项目使用林地缴纳的森林植被恢复征管工作，要向社会公开各类建设项目占用征收林地及森林植被恢复费征收使用情况，提高透明度，接受社会监督。</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第二十条</w:t>
      </w:r>
      <w:r>
        <w:rPr>
          <w:rFonts w:hint="default" w:ascii="Times New Roman" w:hAnsi="Times New Roman" w:eastAsia="仿宋" w:cs="Times New Roman"/>
          <w:sz w:val="32"/>
          <w:szCs w:val="32"/>
        </w:rPr>
        <w:t xml:space="preserve">  绩效评价结果作为完善政策、改进管理、安排资金的重要依据。对执行中问题较多、使用效益差的，并视整改情况决定减少或取消以后年度所属地区（单位）资金额度的安排。</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第七章  附则</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 xml:space="preserve">    第二十一条  </w:t>
      </w:r>
      <w:r>
        <w:rPr>
          <w:rFonts w:hint="default" w:ascii="Times New Roman" w:hAnsi="Times New Roman" w:eastAsia="仿宋" w:cs="Times New Roman"/>
          <w:sz w:val="32"/>
          <w:szCs w:val="32"/>
        </w:rPr>
        <w:t>本办法由兵团财政局、林业和草原局负责解释。</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 xml:space="preserve">第二十二条  </w:t>
      </w:r>
      <w:r>
        <w:rPr>
          <w:rFonts w:hint="default" w:ascii="Times New Roman" w:hAnsi="Times New Roman" w:eastAsia="仿宋" w:cs="Times New Roman"/>
          <w:sz w:val="32"/>
          <w:szCs w:val="32"/>
        </w:rPr>
        <w:t>本办法自印发之日起执行。</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第二十三条</w:t>
      </w:r>
      <w:r>
        <w:rPr>
          <w:rFonts w:hint="default" w:ascii="Times New Roman" w:hAnsi="Times New Roman" w:eastAsia="仿宋" w:cs="Times New Roman"/>
          <w:sz w:val="32"/>
          <w:szCs w:val="32"/>
        </w:rPr>
        <w:t xml:space="preserve">  师市收取的森林植被恢复费参照本办法制定师市管理办法后，师市林草部门联合师市财政部门报兵团林草局和兵团财政局备案。</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楷体" w:cs="Times New Roman"/>
          <w:b/>
          <w:sz w:val="32"/>
          <w:szCs w:val="32"/>
        </w:rPr>
        <w:t xml:space="preserve">第二十四条  </w:t>
      </w:r>
      <w:r>
        <w:rPr>
          <w:rFonts w:hint="default" w:ascii="Times New Roman" w:hAnsi="Times New Roman" w:eastAsia="仿宋" w:cs="Times New Roman"/>
          <w:sz w:val="32"/>
          <w:szCs w:val="32"/>
        </w:rPr>
        <w:t>本办法下列用语的含义是：</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森林资源。包括森林、林木、林地以及依托森林、林木、林地生产的野生动物、植物和微生物。（出处：《中华人民共和国森林法实施条例》）</w:t>
      </w:r>
    </w:p>
    <w:sectPr>
      <w:footerReference r:id="rId4" w:type="default"/>
      <w:pgSz w:w="11906" w:h="16838"/>
      <w:pgMar w:top="2097" w:right="1473" w:bottom="1984" w:left="1587" w:header="851" w:footer="992" w:gutter="0"/>
      <w:pgNumType w:fmt="numberInDash"/>
      <w:cols w:space="720" w:num="1"/>
      <w:docGrid w:type="line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文本框 2" o:spid="_x0000_s1028"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path/>
          <v:fill on="f" focussize="0,0"/>
          <v:stroke on="f" joinstyle="miter"/>
          <v:imagedata o:title=""/>
          <o:lock v:ext="edit"/>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- 7 -</w:t>
                </w:r>
                <w:r>
                  <w:rPr>
                    <w:rFonts w:hint="eastAsia" w:asciiTheme="minorEastAsia" w:hAnsiTheme="minorEastAsia" w:eastAsiaTheme="minorEastAsia" w:cstheme="minor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4BC8E"/>
    <w:multiLevelType w:val="singleLevel"/>
    <w:tmpl w:val="4784BC8E"/>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16206398"/>
    <w:rsid w:val="00004AF8"/>
    <w:rsid w:val="000176AD"/>
    <w:rsid w:val="0002084F"/>
    <w:rsid w:val="000558C9"/>
    <w:rsid w:val="00075627"/>
    <w:rsid w:val="000968F7"/>
    <w:rsid w:val="000A75EB"/>
    <w:rsid w:val="000C39E7"/>
    <w:rsid w:val="000D0220"/>
    <w:rsid w:val="000D59BA"/>
    <w:rsid w:val="000D6D7B"/>
    <w:rsid w:val="000F03C1"/>
    <w:rsid w:val="001023D9"/>
    <w:rsid w:val="001069A4"/>
    <w:rsid w:val="00112A42"/>
    <w:rsid w:val="00112F84"/>
    <w:rsid w:val="00114A4B"/>
    <w:rsid w:val="00136864"/>
    <w:rsid w:val="00136DBE"/>
    <w:rsid w:val="00161C4C"/>
    <w:rsid w:val="00165FB2"/>
    <w:rsid w:val="00167D10"/>
    <w:rsid w:val="0017486A"/>
    <w:rsid w:val="001755DE"/>
    <w:rsid w:val="0019657F"/>
    <w:rsid w:val="001A797E"/>
    <w:rsid w:val="001B4D48"/>
    <w:rsid w:val="001D7C1E"/>
    <w:rsid w:val="001D7FE2"/>
    <w:rsid w:val="001F0B0B"/>
    <w:rsid w:val="001F3A80"/>
    <w:rsid w:val="00202459"/>
    <w:rsid w:val="002051DF"/>
    <w:rsid w:val="00205985"/>
    <w:rsid w:val="0021392C"/>
    <w:rsid w:val="00221268"/>
    <w:rsid w:val="0022787B"/>
    <w:rsid w:val="00235079"/>
    <w:rsid w:val="00237DB1"/>
    <w:rsid w:val="002718F1"/>
    <w:rsid w:val="002721C8"/>
    <w:rsid w:val="002726A2"/>
    <w:rsid w:val="00283BFE"/>
    <w:rsid w:val="00285ED4"/>
    <w:rsid w:val="00294069"/>
    <w:rsid w:val="00295C78"/>
    <w:rsid w:val="002969BB"/>
    <w:rsid w:val="002B331A"/>
    <w:rsid w:val="002C69F9"/>
    <w:rsid w:val="002C72B9"/>
    <w:rsid w:val="0030199D"/>
    <w:rsid w:val="0030796D"/>
    <w:rsid w:val="00312658"/>
    <w:rsid w:val="00316FF1"/>
    <w:rsid w:val="00327436"/>
    <w:rsid w:val="00327860"/>
    <w:rsid w:val="00350A18"/>
    <w:rsid w:val="00355E0D"/>
    <w:rsid w:val="00370647"/>
    <w:rsid w:val="00372864"/>
    <w:rsid w:val="00373313"/>
    <w:rsid w:val="00375C38"/>
    <w:rsid w:val="00390A29"/>
    <w:rsid w:val="00393C86"/>
    <w:rsid w:val="00396CE5"/>
    <w:rsid w:val="003A7219"/>
    <w:rsid w:val="003B2A36"/>
    <w:rsid w:val="003B7241"/>
    <w:rsid w:val="003C16F9"/>
    <w:rsid w:val="003C6756"/>
    <w:rsid w:val="003C7F4C"/>
    <w:rsid w:val="003D3A38"/>
    <w:rsid w:val="003D5918"/>
    <w:rsid w:val="003E1A84"/>
    <w:rsid w:val="00403643"/>
    <w:rsid w:val="00407E20"/>
    <w:rsid w:val="00433D0B"/>
    <w:rsid w:val="00437D20"/>
    <w:rsid w:val="00443278"/>
    <w:rsid w:val="00445AFE"/>
    <w:rsid w:val="00474D12"/>
    <w:rsid w:val="00475D78"/>
    <w:rsid w:val="00486A60"/>
    <w:rsid w:val="004B1701"/>
    <w:rsid w:val="004B448D"/>
    <w:rsid w:val="004B692A"/>
    <w:rsid w:val="004B70E0"/>
    <w:rsid w:val="004B7C61"/>
    <w:rsid w:val="004C0A2D"/>
    <w:rsid w:val="004C182B"/>
    <w:rsid w:val="004D2B44"/>
    <w:rsid w:val="004D2F9A"/>
    <w:rsid w:val="004F6485"/>
    <w:rsid w:val="005042EB"/>
    <w:rsid w:val="005047D2"/>
    <w:rsid w:val="005107DC"/>
    <w:rsid w:val="00511085"/>
    <w:rsid w:val="00511A66"/>
    <w:rsid w:val="00512B27"/>
    <w:rsid w:val="00513493"/>
    <w:rsid w:val="00515CE9"/>
    <w:rsid w:val="0052357C"/>
    <w:rsid w:val="00523B44"/>
    <w:rsid w:val="0053060E"/>
    <w:rsid w:val="005324E7"/>
    <w:rsid w:val="00535867"/>
    <w:rsid w:val="005471DE"/>
    <w:rsid w:val="00562201"/>
    <w:rsid w:val="00571ECF"/>
    <w:rsid w:val="00583A98"/>
    <w:rsid w:val="005953F3"/>
    <w:rsid w:val="005A4FBA"/>
    <w:rsid w:val="005A60B5"/>
    <w:rsid w:val="005B5DA1"/>
    <w:rsid w:val="005C0101"/>
    <w:rsid w:val="005C2025"/>
    <w:rsid w:val="005C6262"/>
    <w:rsid w:val="005C6863"/>
    <w:rsid w:val="005D3663"/>
    <w:rsid w:val="005D74D8"/>
    <w:rsid w:val="005D7E8A"/>
    <w:rsid w:val="005E3DB4"/>
    <w:rsid w:val="005F0B87"/>
    <w:rsid w:val="005F2A22"/>
    <w:rsid w:val="006049A8"/>
    <w:rsid w:val="0060543B"/>
    <w:rsid w:val="0061664D"/>
    <w:rsid w:val="00616D50"/>
    <w:rsid w:val="00617188"/>
    <w:rsid w:val="00630E15"/>
    <w:rsid w:val="006349AF"/>
    <w:rsid w:val="00636BC7"/>
    <w:rsid w:val="00640B83"/>
    <w:rsid w:val="006467FD"/>
    <w:rsid w:val="006506D3"/>
    <w:rsid w:val="0065090F"/>
    <w:rsid w:val="00671E97"/>
    <w:rsid w:val="00674425"/>
    <w:rsid w:val="00687BCC"/>
    <w:rsid w:val="006A6CF5"/>
    <w:rsid w:val="006A73D9"/>
    <w:rsid w:val="006B729B"/>
    <w:rsid w:val="006C0388"/>
    <w:rsid w:val="006C5228"/>
    <w:rsid w:val="006C5FA6"/>
    <w:rsid w:val="006D4340"/>
    <w:rsid w:val="006D65D1"/>
    <w:rsid w:val="006D7B5F"/>
    <w:rsid w:val="006E262D"/>
    <w:rsid w:val="006E3CFC"/>
    <w:rsid w:val="006E788A"/>
    <w:rsid w:val="006F0DF7"/>
    <w:rsid w:val="006F31A9"/>
    <w:rsid w:val="007028D3"/>
    <w:rsid w:val="00703F50"/>
    <w:rsid w:val="00706350"/>
    <w:rsid w:val="00710F8B"/>
    <w:rsid w:val="00720179"/>
    <w:rsid w:val="00751B69"/>
    <w:rsid w:val="007579AB"/>
    <w:rsid w:val="00757EF7"/>
    <w:rsid w:val="007677AB"/>
    <w:rsid w:val="007726AA"/>
    <w:rsid w:val="00773C4B"/>
    <w:rsid w:val="00773D13"/>
    <w:rsid w:val="00774109"/>
    <w:rsid w:val="00790BA5"/>
    <w:rsid w:val="007935B1"/>
    <w:rsid w:val="007B4C3F"/>
    <w:rsid w:val="007C6B9B"/>
    <w:rsid w:val="007D3118"/>
    <w:rsid w:val="007E0A41"/>
    <w:rsid w:val="007E2661"/>
    <w:rsid w:val="007E5E39"/>
    <w:rsid w:val="007F5819"/>
    <w:rsid w:val="007F6AEB"/>
    <w:rsid w:val="00801DB7"/>
    <w:rsid w:val="0080445D"/>
    <w:rsid w:val="00805390"/>
    <w:rsid w:val="008053E4"/>
    <w:rsid w:val="00814C96"/>
    <w:rsid w:val="00823CFB"/>
    <w:rsid w:val="00836B6C"/>
    <w:rsid w:val="008439D0"/>
    <w:rsid w:val="00846E3D"/>
    <w:rsid w:val="00850CD6"/>
    <w:rsid w:val="00857A70"/>
    <w:rsid w:val="008619E5"/>
    <w:rsid w:val="00872BC7"/>
    <w:rsid w:val="008871DF"/>
    <w:rsid w:val="0089714E"/>
    <w:rsid w:val="008972D3"/>
    <w:rsid w:val="00897C3B"/>
    <w:rsid w:val="008A3D1A"/>
    <w:rsid w:val="008A4127"/>
    <w:rsid w:val="008C40FB"/>
    <w:rsid w:val="008E47A2"/>
    <w:rsid w:val="008F1184"/>
    <w:rsid w:val="008F40BE"/>
    <w:rsid w:val="0090139B"/>
    <w:rsid w:val="00903876"/>
    <w:rsid w:val="00905C92"/>
    <w:rsid w:val="00917AB2"/>
    <w:rsid w:val="0094126F"/>
    <w:rsid w:val="0095033A"/>
    <w:rsid w:val="009568DF"/>
    <w:rsid w:val="009604DD"/>
    <w:rsid w:val="00967475"/>
    <w:rsid w:val="00967AF8"/>
    <w:rsid w:val="009708E9"/>
    <w:rsid w:val="009739FA"/>
    <w:rsid w:val="00993F98"/>
    <w:rsid w:val="00994C21"/>
    <w:rsid w:val="009A4574"/>
    <w:rsid w:val="009A60A4"/>
    <w:rsid w:val="009A728A"/>
    <w:rsid w:val="009B58E1"/>
    <w:rsid w:val="009C0D9C"/>
    <w:rsid w:val="009D2190"/>
    <w:rsid w:val="009D6E82"/>
    <w:rsid w:val="009F2FC4"/>
    <w:rsid w:val="009F3D46"/>
    <w:rsid w:val="009F3EAF"/>
    <w:rsid w:val="009F6A27"/>
    <w:rsid w:val="00A17D8C"/>
    <w:rsid w:val="00A67614"/>
    <w:rsid w:val="00A706D1"/>
    <w:rsid w:val="00A83F3B"/>
    <w:rsid w:val="00A96F96"/>
    <w:rsid w:val="00AB3108"/>
    <w:rsid w:val="00AB3984"/>
    <w:rsid w:val="00AB537C"/>
    <w:rsid w:val="00AC1FA9"/>
    <w:rsid w:val="00AC4C92"/>
    <w:rsid w:val="00AC719F"/>
    <w:rsid w:val="00AD4524"/>
    <w:rsid w:val="00AD6899"/>
    <w:rsid w:val="00AD77A8"/>
    <w:rsid w:val="00AF59CE"/>
    <w:rsid w:val="00AF78C9"/>
    <w:rsid w:val="00B02871"/>
    <w:rsid w:val="00B069F5"/>
    <w:rsid w:val="00B06C5D"/>
    <w:rsid w:val="00B154A7"/>
    <w:rsid w:val="00B16BEF"/>
    <w:rsid w:val="00B2146E"/>
    <w:rsid w:val="00B25D54"/>
    <w:rsid w:val="00B368B6"/>
    <w:rsid w:val="00B40B88"/>
    <w:rsid w:val="00B51430"/>
    <w:rsid w:val="00B56D22"/>
    <w:rsid w:val="00B62F31"/>
    <w:rsid w:val="00B823B1"/>
    <w:rsid w:val="00B8291A"/>
    <w:rsid w:val="00B872A7"/>
    <w:rsid w:val="00B93356"/>
    <w:rsid w:val="00B976EC"/>
    <w:rsid w:val="00BA7F30"/>
    <w:rsid w:val="00BB44AD"/>
    <w:rsid w:val="00BC2C80"/>
    <w:rsid w:val="00BC7AC3"/>
    <w:rsid w:val="00BD5A80"/>
    <w:rsid w:val="00BE3274"/>
    <w:rsid w:val="00BE3B1B"/>
    <w:rsid w:val="00BF0B4C"/>
    <w:rsid w:val="00BF1C7A"/>
    <w:rsid w:val="00BF427B"/>
    <w:rsid w:val="00BF48C8"/>
    <w:rsid w:val="00C02129"/>
    <w:rsid w:val="00C0301F"/>
    <w:rsid w:val="00C14DF9"/>
    <w:rsid w:val="00C16667"/>
    <w:rsid w:val="00C16F11"/>
    <w:rsid w:val="00C218CE"/>
    <w:rsid w:val="00C2658C"/>
    <w:rsid w:val="00C32DBF"/>
    <w:rsid w:val="00C41E93"/>
    <w:rsid w:val="00C53E6F"/>
    <w:rsid w:val="00C55D67"/>
    <w:rsid w:val="00C61AE0"/>
    <w:rsid w:val="00C64005"/>
    <w:rsid w:val="00C6599A"/>
    <w:rsid w:val="00C65E02"/>
    <w:rsid w:val="00C922CA"/>
    <w:rsid w:val="00CA22B4"/>
    <w:rsid w:val="00CC0C9F"/>
    <w:rsid w:val="00CD0B05"/>
    <w:rsid w:val="00CD7F30"/>
    <w:rsid w:val="00CE00FC"/>
    <w:rsid w:val="00CE031E"/>
    <w:rsid w:val="00CE2F88"/>
    <w:rsid w:val="00CE5D0A"/>
    <w:rsid w:val="00CE6217"/>
    <w:rsid w:val="00CE7DB3"/>
    <w:rsid w:val="00CF1557"/>
    <w:rsid w:val="00D037FF"/>
    <w:rsid w:val="00D06708"/>
    <w:rsid w:val="00D07C2D"/>
    <w:rsid w:val="00D12EC2"/>
    <w:rsid w:val="00D222CB"/>
    <w:rsid w:val="00D24B32"/>
    <w:rsid w:val="00D277AD"/>
    <w:rsid w:val="00D3101B"/>
    <w:rsid w:val="00D34340"/>
    <w:rsid w:val="00D41133"/>
    <w:rsid w:val="00D41328"/>
    <w:rsid w:val="00D53CE5"/>
    <w:rsid w:val="00D56E87"/>
    <w:rsid w:val="00D711E1"/>
    <w:rsid w:val="00D740D5"/>
    <w:rsid w:val="00D922BB"/>
    <w:rsid w:val="00DB09B4"/>
    <w:rsid w:val="00DC1D87"/>
    <w:rsid w:val="00DC41E9"/>
    <w:rsid w:val="00DC4CF8"/>
    <w:rsid w:val="00DC6FF7"/>
    <w:rsid w:val="00DE4A30"/>
    <w:rsid w:val="00DF4BAB"/>
    <w:rsid w:val="00DF56A1"/>
    <w:rsid w:val="00DF58FB"/>
    <w:rsid w:val="00E11D59"/>
    <w:rsid w:val="00E32341"/>
    <w:rsid w:val="00E34236"/>
    <w:rsid w:val="00E41F39"/>
    <w:rsid w:val="00E428FD"/>
    <w:rsid w:val="00E52AE8"/>
    <w:rsid w:val="00E53EC1"/>
    <w:rsid w:val="00E54F10"/>
    <w:rsid w:val="00E600C5"/>
    <w:rsid w:val="00E65154"/>
    <w:rsid w:val="00E65702"/>
    <w:rsid w:val="00E65800"/>
    <w:rsid w:val="00E80591"/>
    <w:rsid w:val="00E8291C"/>
    <w:rsid w:val="00EA1D55"/>
    <w:rsid w:val="00EA4C62"/>
    <w:rsid w:val="00EB1074"/>
    <w:rsid w:val="00EC1011"/>
    <w:rsid w:val="00EC3CAA"/>
    <w:rsid w:val="00EC4AFE"/>
    <w:rsid w:val="00ED2518"/>
    <w:rsid w:val="00ED3057"/>
    <w:rsid w:val="00ED4B20"/>
    <w:rsid w:val="00ED50F5"/>
    <w:rsid w:val="00EF7006"/>
    <w:rsid w:val="00F128CA"/>
    <w:rsid w:val="00F14F75"/>
    <w:rsid w:val="00F27002"/>
    <w:rsid w:val="00F435EC"/>
    <w:rsid w:val="00F4501B"/>
    <w:rsid w:val="00F548F6"/>
    <w:rsid w:val="00F626D2"/>
    <w:rsid w:val="00F70758"/>
    <w:rsid w:val="00F9403B"/>
    <w:rsid w:val="00F96AE8"/>
    <w:rsid w:val="00FA0AED"/>
    <w:rsid w:val="00FB0354"/>
    <w:rsid w:val="00FB0BE8"/>
    <w:rsid w:val="00FB40CA"/>
    <w:rsid w:val="00FB676C"/>
    <w:rsid w:val="00FC38D7"/>
    <w:rsid w:val="00FC464F"/>
    <w:rsid w:val="00FC77A6"/>
    <w:rsid w:val="00FD7DBF"/>
    <w:rsid w:val="00FE5903"/>
    <w:rsid w:val="00FF10DF"/>
    <w:rsid w:val="00FF369A"/>
    <w:rsid w:val="00FF5C39"/>
    <w:rsid w:val="00FF65F7"/>
    <w:rsid w:val="021C4AA3"/>
    <w:rsid w:val="027B4E9B"/>
    <w:rsid w:val="072F2F8C"/>
    <w:rsid w:val="078B1CAE"/>
    <w:rsid w:val="0A55715D"/>
    <w:rsid w:val="0B072C11"/>
    <w:rsid w:val="0B923CFA"/>
    <w:rsid w:val="0F3139F2"/>
    <w:rsid w:val="0F5F2945"/>
    <w:rsid w:val="0FDE57FE"/>
    <w:rsid w:val="105B0EB3"/>
    <w:rsid w:val="12962148"/>
    <w:rsid w:val="14AD406F"/>
    <w:rsid w:val="14C87B1E"/>
    <w:rsid w:val="156601AA"/>
    <w:rsid w:val="16206398"/>
    <w:rsid w:val="16EC0614"/>
    <w:rsid w:val="1A4B7AA0"/>
    <w:rsid w:val="1D5D4D6D"/>
    <w:rsid w:val="1F0E65DF"/>
    <w:rsid w:val="1FD91E28"/>
    <w:rsid w:val="221C76D8"/>
    <w:rsid w:val="24BB1548"/>
    <w:rsid w:val="27631874"/>
    <w:rsid w:val="286318B7"/>
    <w:rsid w:val="29AE6A9A"/>
    <w:rsid w:val="2A040823"/>
    <w:rsid w:val="2AC76193"/>
    <w:rsid w:val="2E831F26"/>
    <w:rsid w:val="2F951192"/>
    <w:rsid w:val="302A5BD8"/>
    <w:rsid w:val="31187057"/>
    <w:rsid w:val="3223069C"/>
    <w:rsid w:val="322F2764"/>
    <w:rsid w:val="324F1E45"/>
    <w:rsid w:val="32561EF9"/>
    <w:rsid w:val="327D7E6B"/>
    <w:rsid w:val="329B5C71"/>
    <w:rsid w:val="329B6699"/>
    <w:rsid w:val="32F3138C"/>
    <w:rsid w:val="334A0F9A"/>
    <w:rsid w:val="359A1945"/>
    <w:rsid w:val="36DD5BB1"/>
    <w:rsid w:val="37A621A3"/>
    <w:rsid w:val="3E835B6F"/>
    <w:rsid w:val="41CE4242"/>
    <w:rsid w:val="45011FCA"/>
    <w:rsid w:val="49750110"/>
    <w:rsid w:val="49F1460A"/>
    <w:rsid w:val="4B7A14E5"/>
    <w:rsid w:val="4BCD2C86"/>
    <w:rsid w:val="4C481A85"/>
    <w:rsid w:val="4C6C4DEF"/>
    <w:rsid w:val="4C760231"/>
    <w:rsid w:val="4E90591C"/>
    <w:rsid w:val="4E9925C8"/>
    <w:rsid w:val="4FDF6C01"/>
    <w:rsid w:val="51273132"/>
    <w:rsid w:val="51460B29"/>
    <w:rsid w:val="51790949"/>
    <w:rsid w:val="566B0AE3"/>
    <w:rsid w:val="56D469D3"/>
    <w:rsid w:val="57755CA8"/>
    <w:rsid w:val="57BD7C7E"/>
    <w:rsid w:val="57CD0549"/>
    <w:rsid w:val="57E01688"/>
    <w:rsid w:val="580F126F"/>
    <w:rsid w:val="59D8270A"/>
    <w:rsid w:val="5BAB10A1"/>
    <w:rsid w:val="5C133CC6"/>
    <w:rsid w:val="5E064927"/>
    <w:rsid w:val="5F5B21A9"/>
    <w:rsid w:val="5F700626"/>
    <w:rsid w:val="61421CE7"/>
    <w:rsid w:val="61542210"/>
    <w:rsid w:val="624413F5"/>
    <w:rsid w:val="63391E0E"/>
    <w:rsid w:val="63826E8A"/>
    <w:rsid w:val="63867DD5"/>
    <w:rsid w:val="63A75E61"/>
    <w:rsid w:val="676C4B07"/>
    <w:rsid w:val="694F203E"/>
    <w:rsid w:val="6A29534D"/>
    <w:rsid w:val="6D0D14F1"/>
    <w:rsid w:val="70293C3F"/>
    <w:rsid w:val="71666314"/>
    <w:rsid w:val="7A18188A"/>
    <w:rsid w:val="7A526F79"/>
    <w:rsid w:val="7B854A17"/>
    <w:rsid w:val="7C055D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Strong"/>
    <w:basedOn w:val="6"/>
    <w:qFormat/>
    <w:uiPriority w:val="0"/>
    <w:rPr>
      <w:b/>
    </w:rPr>
  </w:style>
  <w:style w:type="character" w:customStyle="1" w:styleId="8">
    <w:name w:val="批注框文本 Char"/>
    <w:basedOn w:val="6"/>
    <w:link w:val="2"/>
    <w:qFormat/>
    <w:uiPriority w:val="0"/>
    <w:rPr>
      <w:rFonts w:ascii="Times New Roman" w:hAnsi="Times New Roman"/>
      <w:kern w:val="2"/>
      <w:sz w:val="18"/>
      <w:szCs w:val="18"/>
    </w:rPr>
  </w:style>
  <w:style w:type="paragraph" w:customStyle="1" w:styleId="9">
    <w:name w:val="修订1"/>
    <w:hidden/>
    <w:unhideWhenUsed/>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textRotate="1"/>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046BF9-27B0-441D-B66D-ED593CA6288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514</Words>
  <Characters>2936</Characters>
  <Lines>24</Lines>
  <Paragraphs>6</Paragraphs>
  <TotalTime>16</TotalTime>
  <ScaleCrop>false</ScaleCrop>
  <LinksUpToDate>false</LinksUpToDate>
  <CharactersWithSpaces>3444</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2022-01-13T02:49:00Z</dcterms:created>
  <dc:creator>User</dc:creator>
  <cp:lastModifiedBy>张攀林</cp:lastModifiedBy>
  <cp:lastPrinted>2022-02-23T10:04:00Z</cp:lastPrinted>
  <dcterms:modified xsi:type="dcterms:W3CDTF">2022-02-28T08:11:54Z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ICV">
    <vt:lpwstr>D7796D06362347A292256B53C2F0FC1D</vt:lpwstr>
  </property>
</Properties>
</file>