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0"/>
        <w:jc w:val="both"/>
        <w:textAlignment w:val="auto"/>
        <w:rPr>
          <w:rFonts w:hint="default" w:ascii="方正小标宋_GBK" w:eastAsia="方正小标宋_GBK" w:cs="宋体"/>
          <w:b/>
          <w:bCs/>
          <w:snapToGrid/>
          <w:color w:val="333333"/>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0"/>
        <w:jc w:val="center"/>
        <w:textAlignment w:val="auto"/>
        <w:rPr>
          <w:rFonts w:hint="eastAsia" w:ascii="方正小标宋_GBK" w:eastAsia="方正小标宋_GBK" w:cs="宋体"/>
          <w:b/>
          <w:bCs/>
          <w:snapToGrid/>
          <w:color w:val="333333"/>
          <w:sz w:val="44"/>
          <w:szCs w:val="44"/>
        </w:rPr>
      </w:pPr>
      <w:r>
        <w:rPr>
          <w:rFonts w:hint="default" w:ascii="方正小标宋_GBK" w:eastAsia="方正小标宋_GBK" w:cs="宋体"/>
          <w:b/>
          <w:bCs/>
          <w:snapToGrid/>
          <w:color w:val="333333"/>
          <w:sz w:val="44"/>
          <w:szCs w:val="44"/>
          <w:lang w:val="en-US" w:eastAsia="zh-CN"/>
        </w:rPr>
        <w:t>兵团财政局2</w:t>
      </w:r>
      <w:r>
        <w:rPr>
          <w:rFonts w:hint="eastAsia" w:ascii="方正小标宋_GBK" w:eastAsia="方正小标宋_GBK" w:cs="宋体"/>
          <w:b/>
          <w:bCs/>
          <w:snapToGrid/>
          <w:color w:val="333333"/>
          <w:sz w:val="44"/>
          <w:szCs w:val="44"/>
          <w:lang w:val="en-US" w:eastAsia="zh-CN"/>
        </w:rPr>
        <w:t>021</w:t>
      </w:r>
      <w:r>
        <w:rPr>
          <w:rFonts w:hint="default" w:ascii="方正小标宋_GBK" w:eastAsia="方正小标宋_GBK" w:cs="宋体"/>
          <w:b/>
          <w:bCs/>
          <w:snapToGrid/>
          <w:color w:val="333333"/>
          <w:sz w:val="44"/>
          <w:szCs w:val="44"/>
          <w:lang w:val="en-US" w:eastAsia="zh-CN"/>
        </w:rPr>
        <w:t>年度</w:t>
      </w:r>
      <w:r>
        <w:rPr>
          <w:rFonts w:hint="eastAsia" w:ascii="方正小标宋_GBK" w:eastAsia="方正小标宋_GBK" w:cs="宋体"/>
          <w:b/>
          <w:bCs/>
          <w:snapToGrid/>
          <w:color w:val="333333"/>
          <w:sz w:val="44"/>
          <w:szCs w:val="44"/>
        </w:rPr>
        <w:t>政府信息公开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0"/>
        <w:jc w:val="center"/>
        <w:textAlignment w:val="auto"/>
        <w:rPr>
          <w:rFonts w:ascii="方正小标宋_GBK" w:eastAsia="方正小标宋_GBK" w:cs="宋体"/>
          <w:snapToGrid/>
          <w:color w:val="333333"/>
          <w:sz w:val="44"/>
          <w:szCs w:val="44"/>
        </w:rPr>
      </w:pPr>
      <w:r>
        <w:rPr>
          <w:rFonts w:hint="eastAsia" w:ascii="方正小标宋_GBK" w:eastAsia="方正小标宋_GBK" w:cs="宋体"/>
          <w:b/>
          <w:bCs/>
          <w:snapToGrid/>
          <w:color w:val="333333"/>
          <w:sz w:val="44"/>
          <w:szCs w:val="44"/>
        </w:rPr>
        <w:t>工作年度报告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both"/>
        <w:textAlignment w:val="auto"/>
        <w:rPr>
          <w:rFonts w:ascii="宋体" w:eastAsia="宋体" w:cs="宋体"/>
          <w:snapToGrid/>
          <w:color w:val="333333"/>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both"/>
        <w:textAlignment w:val="auto"/>
        <w:rPr>
          <w:rFonts w:ascii="黑体" w:eastAsia="黑体" w:cs="宋体"/>
          <w:b w:val="0"/>
          <w:bCs w:val="0"/>
          <w:snapToGrid/>
          <w:color w:val="333333"/>
          <w:szCs w:val="32"/>
        </w:rPr>
      </w:pPr>
      <w:r>
        <w:rPr>
          <w:rFonts w:hint="eastAsia" w:ascii="黑体" w:eastAsia="黑体" w:cs="宋体"/>
          <w:b w:val="0"/>
          <w:bCs w:val="0"/>
          <w:snapToGrid/>
          <w:color w:val="333333"/>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20</w:t>
      </w:r>
      <w:r>
        <w:rPr>
          <w:rFonts w:hint="eastAsia" w:ascii="Times New Roman" w:hAnsi="Times New Roman" w:eastAsia="仿宋_GB2312" w:cs="Times New Roman"/>
          <w:color w:val="000000"/>
          <w:kern w:val="0"/>
          <w:sz w:val="32"/>
          <w:szCs w:val="32"/>
          <w:lang w:val="en-US" w:eastAsia="zh-CN"/>
        </w:rPr>
        <w:t>21</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eastAsia="zh-CN"/>
        </w:rPr>
        <w:t>兵团财政局</w:t>
      </w:r>
      <w:r>
        <w:rPr>
          <w:rFonts w:hint="eastAsia" w:eastAsia="仿宋_GB2312" w:cs="Times New Roman"/>
          <w:color w:val="000000"/>
          <w:kern w:val="0"/>
          <w:sz w:val="32"/>
          <w:szCs w:val="32"/>
          <w:lang w:val="en-US" w:eastAsia="zh-CN"/>
        </w:rPr>
        <w:t>以习近平新时代中国特色社会主义思想为指导，全面贯彻党的十九大和十九届历次全会精神，按照国家政府信息公开条例规定</w:t>
      </w:r>
      <w:r>
        <w:rPr>
          <w:rFonts w:hint="default" w:ascii="Times New Roman" w:hAnsi="Times New Roman" w:eastAsia="仿宋_GB2312" w:cs="Times New Roman"/>
          <w:color w:val="000000"/>
          <w:kern w:val="0"/>
          <w:sz w:val="32"/>
          <w:szCs w:val="32"/>
          <w:lang w:eastAsia="zh-CN"/>
        </w:rPr>
        <w:t>，</w:t>
      </w:r>
      <w:r>
        <w:rPr>
          <w:rFonts w:hint="eastAsia" w:eastAsia="仿宋_GB2312" w:cs="Times New Roman"/>
          <w:color w:val="000000"/>
          <w:kern w:val="0"/>
          <w:sz w:val="32"/>
          <w:szCs w:val="32"/>
          <w:lang w:val="en-US" w:eastAsia="zh-CN"/>
        </w:rPr>
        <w:t>依法依规开展</w:t>
      </w:r>
      <w:r>
        <w:rPr>
          <w:rFonts w:hint="default" w:ascii="Times New Roman" w:hAnsi="Times New Roman" w:eastAsia="仿宋_GB2312" w:cs="Times New Roman"/>
          <w:color w:val="000000"/>
          <w:kern w:val="0"/>
          <w:sz w:val="32"/>
          <w:szCs w:val="32"/>
          <w:lang w:eastAsia="zh-CN"/>
        </w:rPr>
        <w:t>政府信息公开工作。</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000000"/>
          <w:kern w:val="0"/>
          <w:sz w:val="32"/>
          <w:szCs w:val="32"/>
          <w:lang w:eastAsia="zh-CN"/>
        </w:rPr>
      </w:pPr>
      <w:r>
        <w:rPr>
          <w:rFonts w:hint="eastAsia" w:ascii="方正楷体_GBK" w:hAnsi="方正楷体_GBK" w:eastAsia="方正楷体_GBK" w:cs="方正楷体_GBK"/>
          <w:b/>
          <w:bCs/>
          <w:color w:val="000000"/>
          <w:kern w:val="0"/>
          <w:sz w:val="32"/>
          <w:szCs w:val="32"/>
          <w:lang w:eastAsia="zh-CN"/>
        </w:rPr>
        <w:t>（</w:t>
      </w:r>
      <w:r>
        <w:rPr>
          <w:rFonts w:hint="eastAsia" w:ascii="方正楷体_GBK" w:hAnsi="方正楷体_GBK" w:eastAsia="方正楷体_GBK" w:cs="方正楷体_GBK"/>
          <w:b/>
          <w:bCs/>
          <w:color w:val="000000"/>
          <w:kern w:val="0"/>
          <w:sz w:val="32"/>
          <w:szCs w:val="32"/>
          <w:lang w:val="en-US" w:eastAsia="zh-CN"/>
        </w:rPr>
        <w:t>一</w:t>
      </w:r>
      <w:r>
        <w:rPr>
          <w:rFonts w:hint="eastAsia" w:ascii="方正楷体_GBK" w:hAnsi="方正楷体_GBK" w:eastAsia="方正楷体_GBK" w:cs="方正楷体_GBK"/>
          <w:b/>
          <w:bCs/>
          <w:color w:val="000000"/>
          <w:kern w:val="0"/>
          <w:sz w:val="32"/>
          <w:szCs w:val="32"/>
          <w:lang w:eastAsia="zh-CN"/>
        </w:rPr>
        <w:t>）</w:t>
      </w:r>
      <w:r>
        <w:rPr>
          <w:rFonts w:hint="eastAsia" w:ascii="方正楷体_GBK" w:hAnsi="方正楷体_GBK" w:eastAsia="方正楷体_GBK" w:cs="方正楷体_GBK"/>
          <w:b/>
          <w:bCs/>
          <w:color w:val="000000"/>
          <w:kern w:val="0"/>
          <w:sz w:val="32"/>
          <w:szCs w:val="32"/>
          <w:lang w:val="en-US" w:eastAsia="zh-CN"/>
        </w:rPr>
        <w:t>高度重视政府信息编发工作</w:t>
      </w:r>
      <w:r>
        <w:rPr>
          <w:rFonts w:hint="eastAsia" w:ascii="方正楷体_GBK" w:hAnsi="方正楷体_GBK" w:eastAsia="方正楷体_GBK" w:cs="方正楷体_GBK"/>
          <w:b/>
          <w:bCs/>
          <w:color w:val="000000"/>
          <w:kern w:val="0"/>
          <w:sz w:val="32"/>
          <w:szCs w:val="32"/>
          <w:lang w:eastAsia="zh-CN"/>
        </w:rPr>
        <w:t>。</w:t>
      </w:r>
      <w:r>
        <w:rPr>
          <w:rFonts w:hint="eastAsia" w:eastAsia="仿宋_GB2312" w:cs="Times New Roman"/>
          <w:color w:val="000000"/>
          <w:kern w:val="0"/>
          <w:sz w:val="32"/>
          <w:szCs w:val="32"/>
          <w:lang w:val="en-US" w:eastAsia="zh-CN"/>
        </w:rPr>
        <w:t>编发政府信息公开工作年度报告是国家政府信息公开条例确立的法定制度安排，是反映政府信息公开工作情况的重要方式，兵团财政局高度重视年度报告编发工作，坚持内容全面、数据准确、逻辑严谨，高质量高标准编制发布政府信息公开工作年度报告，真实准确反映兵团财政局一年来行政规范性文件发文数量、行政许可、行政处罚、行政事业性收费等以及依申请信息公开等情况，促进实现依法行政依法理财</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000000"/>
          <w:kern w:val="0"/>
          <w:sz w:val="32"/>
          <w:szCs w:val="32"/>
          <w:lang w:eastAsia="zh-CN"/>
        </w:rPr>
      </w:pPr>
      <w:r>
        <w:rPr>
          <w:rFonts w:hint="eastAsia" w:ascii="方正楷体_GBK" w:hAnsi="方正楷体_GBK" w:eastAsia="方正楷体_GBK" w:cs="方正楷体_GBK"/>
          <w:b/>
          <w:bCs/>
          <w:color w:val="000000"/>
          <w:kern w:val="0"/>
          <w:sz w:val="32"/>
          <w:szCs w:val="32"/>
          <w:lang w:val="en-US" w:eastAsia="zh-CN"/>
        </w:rPr>
        <w:t>（</w:t>
      </w:r>
      <w:r>
        <w:rPr>
          <w:rFonts w:hint="default" w:ascii="方正楷体_GBK" w:hAnsi="方正楷体_GBK" w:eastAsia="方正楷体_GBK" w:cs="方正楷体_GBK"/>
          <w:b/>
          <w:bCs/>
          <w:color w:val="000000"/>
          <w:kern w:val="0"/>
          <w:sz w:val="32"/>
          <w:szCs w:val="32"/>
          <w:lang w:val="en-US" w:eastAsia="zh-CN"/>
        </w:rPr>
        <w:t>二</w:t>
      </w:r>
      <w:r>
        <w:rPr>
          <w:rFonts w:hint="eastAsia" w:ascii="方正楷体_GBK" w:hAnsi="方正楷体_GBK" w:eastAsia="方正楷体_GBK" w:cs="方正楷体_GBK"/>
          <w:b/>
          <w:bCs/>
          <w:color w:val="000000"/>
          <w:kern w:val="0"/>
          <w:sz w:val="32"/>
          <w:szCs w:val="32"/>
          <w:lang w:val="en-US" w:eastAsia="zh-CN"/>
        </w:rPr>
        <w:t>）主动发布</w:t>
      </w:r>
      <w:r>
        <w:rPr>
          <w:rFonts w:hint="default" w:ascii="方正楷体_GBK" w:hAnsi="方正楷体_GBK" w:eastAsia="方正楷体_GBK" w:cs="方正楷体_GBK"/>
          <w:b/>
          <w:bCs/>
          <w:color w:val="000000"/>
          <w:kern w:val="0"/>
          <w:sz w:val="32"/>
          <w:szCs w:val="32"/>
          <w:lang w:val="en-US" w:eastAsia="zh-CN"/>
        </w:rPr>
        <w:t>财政信息。</w:t>
      </w:r>
      <w:r>
        <w:rPr>
          <w:rFonts w:hint="default" w:ascii="Times New Roman" w:hAnsi="Times New Roman" w:eastAsia="仿宋_GB2312" w:cs="Times New Roman"/>
          <w:color w:val="000000"/>
          <w:kern w:val="0"/>
          <w:sz w:val="32"/>
          <w:szCs w:val="32"/>
          <w:lang w:eastAsia="zh-CN"/>
        </w:rPr>
        <w:t>主动公开财政局机构设置、机构职能和局领导简介和分工；财政工作开展情况和成效图片要闻；转载中央、兵团的有关财政法律法规及规范性文件；</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局机关和所属事业单位选调、招录</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任职</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工作人员通知和公示</w:t>
      </w:r>
      <w:r>
        <w:rPr>
          <w:rFonts w:hint="default" w:ascii="Times New Roman" w:hAnsi="Times New Roman" w:eastAsia="仿宋_GB2312" w:cs="Times New Roman"/>
          <w:color w:val="000000"/>
          <w:kern w:val="0"/>
          <w:sz w:val="32"/>
          <w:szCs w:val="32"/>
          <w:lang w:eastAsia="zh-CN"/>
        </w:rPr>
        <w:t>；会计资讯和企业服务信息；财政专项资金管理办法及税政、政府采购、</w:t>
      </w:r>
      <w:r>
        <w:rPr>
          <w:rFonts w:hint="eastAsia" w:ascii="Times New Roman" w:hAnsi="Times New Roman" w:eastAsia="仿宋_GB2312" w:cs="Times New Roman"/>
          <w:color w:val="000000"/>
          <w:kern w:val="0"/>
          <w:sz w:val="32"/>
          <w:szCs w:val="32"/>
          <w:lang w:val="en-US" w:eastAsia="zh-CN"/>
        </w:rPr>
        <w:t>政府债券、</w:t>
      </w:r>
      <w:r>
        <w:rPr>
          <w:rFonts w:hint="default" w:ascii="Times New Roman" w:hAnsi="Times New Roman" w:eastAsia="仿宋_GB2312" w:cs="Times New Roman"/>
          <w:color w:val="000000"/>
          <w:kern w:val="0"/>
          <w:sz w:val="32"/>
          <w:szCs w:val="32"/>
          <w:lang w:eastAsia="zh-CN"/>
        </w:rPr>
        <w:t>涉农</w:t>
      </w:r>
      <w:r>
        <w:rPr>
          <w:rFonts w:hint="eastAsia" w:ascii="Times New Roman" w:hAnsi="Times New Roman" w:eastAsia="仿宋_GB2312" w:cs="Times New Roman"/>
          <w:color w:val="000000"/>
          <w:kern w:val="0"/>
          <w:sz w:val="32"/>
          <w:szCs w:val="32"/>
          <w:lang w:val="en-US" w:eastAsia="zh-CN"/>
        </w:rPr>
        <w:t>涉企减税降费和普惠金融</w:t>
      </w:r>
      <w:r>
        <w:rPr>
          <w:rFonts w:hint="default" w:ascii="Times New Roman" w:hAnsi="Times New Roman" w:eastAsia="仿宋_GB2312" w:cs="Times New Roman"/>
          <w:color w:val="000000"/>
          <w:kern w:val="0"/>
          <w:sz w:val="32"/>
          <w:szCs w:val="32"/>
          <w:lang w:eastAsia="zh-CN"/>
        </w:rPr>
        <w:t>等社会关注度较高的</w:t>
      </w:r>
      <w:r>
        <w:rPr>
          <w:rFonts w:hint="eastAsia" w:ascii="Times New Roman" w:hAnsi="Times New Roman" w:eastAsia="仿宋_GB2312" w:cs="Times New Roman"/>
          <w:color w:val="000000"/>
          <w:kern w:val="0"/>
          <w:sz w:val="32"/>
          <w:szCs w:val="32"/>
          <w:lang w:val="en-US" w:eastAsia="zh-CN"/>
        </w:rPr>
        <w:t>财税政策及财政资金预算执行等政务公开信息</w:t>
      </w:r>
      <w:r>
        <w:rPr>
          <w:rFonts w:hint="default" w:ascii="Times New Roman" w:hAnsi="Times New Roman" w:eastAsia="仿宋_GB2312" w:cs="Times New Roman"/>
          <w:color w:val="000000"/>
          <w:kern w:val="0"/>
          <w:sz w:val="32"/>
          <w:szCs w:val="32"/>
          <w:lang w:eastAsia="zh-CN"/>
        </w:rPr>
        <w:t>；财政部、财政局年度财政工作会议信息；机关党建信息等。</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9"/>
        <w:rPr>
          <w:rFonts w:hint="default" w:ascii="Times New Roman" w:hAnsi="Times New Roman" w:eastAsia="仿宋_GB2312" w:cs="Times New Roman"/>
          <w:color w:val="000000"/>
          <w:kern w:val="0"/>
          <w:sz w:val="32"/>
          <w:szCs w:val="32"/>
          <w:lang w:eastAsia="zh-CN"/>
        </w:rPr>
      </w:pPr>
      <w:r>
        <w:rPr>
          <w:rFonts w:hint="eastAsia" w:ascii="方正楷体_GBK" w:hAnsi="方正楷体_GBK" w:eastAsia="方正楷体_GBK" w:cs="方正楷体_GBK"/>
          <w:b/>
          <w:bCs/>
          <w:color w:val="000000"/>
          <w:kern w:val="0"/>
          <w:sz w:val="32"/>
          <w:szCs w:val="32"/>
          <w:lang w:val="en-US" w:eastAsia="zh-CN"/>
        </w:rPr>
        <w:t>（三）</w:t>
      </w:r>
      <w:r>
        <w:rPr>
          <w:rFonts w:hint="default" w:ascii="方正楷体_GBK" w:hAnsi="方正楷体_GBK" w:eastAsia="方正楷体_GBK" w:cs="方正楷体_GBK"/>
          <w:b/>
          <w:bCs/>
          <w:color w:val="000000"/>
          <w:kern w:val="0"/>
          <w:sz w:val="32"/>
          <w:szCs w:val="32"/>
          <w:lang w:val="en-US" w:eastAsia="zh-CN"/>
        </w:rPr>
        <w:t>规范</w:t>
      </w:r>
      <w:r>
        <w:rPr>
          <w:rFonts w:hint="eastAsia" w:ascii="方正楷体_GBK" w:hAnsi="方正楷体_GBK" w:eastAsia="方正楷体_GBK" w:cs="方正楷体_GBK"/>
          <w:b/>
          <w:bCs/>
          <w:color w:val="000000"/>
          <w:kern w:val="0"/>
          <w:sz w:val="32"/>
          <w:szCs w:val="32"/>
          <w:lang w:val="en-US" w:eastAsia="zh-CN"/>
        </w:rPr>
        <w:t>开展</w:t>
      </w:r>
      <w:r>
        <w:rPr>
          <w:rFonts w:hint="default" w:ascii="方正楷体_GBK" w:hAnsi="方正楷体_GBK" w:eastAsia="方正楷体_GBK" w:cs="方正楷体_GBK"/>
          <w:b/>
          <w:bCs/>
          <w:color w:val="000000"/>
          <w:kern w:val="0"/>
          <w:sz w:val="32"/>
          <w:szCs w:val="32"/>
          <w:lang w:val="en-US" w:eastAsia="zh-CN"/>
        </w:rPr>
        <w:t>信息公开工作。</w:t>
      </w:r>
      <w:r>
        <w:rPr>
          <w:rFonts w:hint="eastAsia" w:eastAsia="仿宋_GB2312" w:cs="Times New Roman"/>
          <w:color w:val="000000"/>
          <w:kern w:val="0"/>
          <w:sz w:val="32"/>
          <w:szCs w:val="32"/>
          <w:lang w:val="en-US" w:eastAsia="zh-CN"/>
        </w:rPr>
        <w:t>积极</w:t>
      </w:r>
      <w:r>
        <w:rPr>
          <w:rFonts w:hint="default" w:ascii="Times New Roman" w:hAnsi="Times New Roman" w:eastAsia="仿宋_GB2312" w:cs="Times New Roman"/>
          <w:color w:val="000000"/>
          <w:kern w:val="0"/>
          <w:sz w:val="32"/>
          <w:szCs w:val="32"/>
          <w:lang w:eastAsia="zh-CN"/>
        </w:rPr>
        <w:t>拓宽信息公开</w:t>
      </w:r>
      <w:r>
        <w:rPr>
          <w:rFonts w:hint="eastAsia" w:eastAsia="仿宋_GB2312" w:cs="Times New Roman"/>
          <w:color w:val="000000"/>
          <w:kern w:val="0"/>
          <w:sz w:val="32"/>
          <w:szCs w:val="32"/>
          <w:lang w:val="en-US" w:eastAsia="zh-CN"/>
        </w:rPr>
        <w:t>渠道</w:t>
      </w:r>
      <w:r>
        <w:rPr>
          <w:rFonts w:hint="default" w:ascii="Times New Roman" w:hAnsi="Times New Roman" w:eastAsia="仿宋_GB2312" w:cs="Times New Roman"/>
          <w:color w:val="000000"/>
          <w:kern w:val="0"/>
          <w:sz w:val="32"/>
          <w:szCs w:val="32"/>
          <w:lang w:eastAsia="zh-CN"/>
        </w:rPr>
        <w:t>，</w:t>
      </w:r>
      <w:r>
        <w:rPr>
          <w:rFonts w:hint="eastAsia" w:eastAsia="仿宋_GB2312" w:cs="Times New Roman"/>
          <w:color w:val="000000"/>
          <w:kern w:val="0"/>
          <w:sz w:val="32"/>
          <w:szCs w:val="32"/>
          <w:lang w:val="en-US" w:eastAsia="zh-CN"/>
        </w:rPr>
        <w:t>及时将财政信息公开在</w:t>
      </w:r>
      <w:r>
        <w:rPr>
          <w:rFonts w:hint="eastAsia" w:ascii="Times New Roman" w:hAnsi="Times New Roman" w:eastAsia="仿宋_GB2312" w:cs="Times New Roman"/>
          <w:sz w:val="32"/>
          <w:szCs w:val="40"/>
          <w:lang w:val="zh-CN" w:eastAsia="zh-CN"/>
        </w:rPr>
        <w:t>财政局政务门户网站，</w:t>
      </w:r>
      <w:r>
        <w:rPr>
          <w:rFonts w:hint="eastAsia" w:ascii="Times New Roman" w:hAnsi="Times New Roman" w:eastAsia="仿宋_GB2312" w:cs="Times New Roman"/>
          <w:sz w:val="32"/>
          <w:szCs w:val="40"/>
          <w:lang w:val="en-US" w:eastAsia="zh-CN"/>
        </w:rPr>
        <w:t>以便于公众知晓、推动工作。认真</w:t>
      </w:r>
      <w:r>
        <w:rPr>
          <w:rFonts w:hint="default" w:ascii="Times New Roman" w:hAnsi="Times New Roman" w:eastAsia="仿宋_GB2312" w:cs="Times New Roman"/>
          <w:color w:val="000000"/>
          <w:kern w:val="0"/>
          <w:sz w:val="32"/>
          <w:szCs w:val="32"/>
          <w:lang w:eastAsia="zh-CN"/>
        </w:rPr>
        <w:t>推进财政一体化平台建设，</w:t>
      </w:r>
      <w:r>
        <w:rPr>
          <w:rFonts w:hint="eastAsia" w:eastAsia="仿宋_GB2312" w:cs="Times New Roman"/>
          <w:color w:val="000000"/>
          <w:kern w:val="0"/>
          <w:sz w:val="32"/>
          <w:szCs w:val="32"/>
          <w:lang w:val="en-US" w:eastAsia="zh-CN"/>
        </w:rPr>
        <w:t>将财政业务与财政政策、财政信息有效衔接，提升财政管理水平和效能。主动回应群众关切，做好</w:t>
      </w:r>
      <w:r>
        <w:rPr>
          <w:rFonts w:hint="default" w:ascii="Times New Roman" w:hAnsi="Times New Roman" w:eastAsia="仿宋_GB2312" w:cs="Times New Roman"/>
          <w:color w:val="000000"/>
          <w:kern w:val="0"/>
          <w:sz w:val="32"/>
          <w:szCs w:val="32"/>
          <w:lang w:eastAsia="zh-CN"/>
        </w:rPr>
        <w:t>财政政策解读和互动交流，</w:t>
      </w:r>
      <w:r>
        <w:rPr>
          <w:rFonts w:hint="eastAsia" w:eastAsia="仿宋_GB2312" w:cs="Times New Roman"/>
          <w:color w:val="000000"/>
          <w:kern w:val="0"/>
          <w:sz w:val="32"/>
          <w:szCs w:val="32"/>
          <w:lang w:val="en-US" w:eastAsia="zh-CN"/>
        </w:rPr>
        <w:t>准确把握舆情，增强信息公开的有效性。</w:t>
      </w:r>
      <w:r>
        <w:rPr>
          <w:rFonts w:hint="default" w:ascii="Times New Roman" w:hAnsi="Times New Roman" w:eastAsia="仿宋_GB2312" w:cs="Times New Roman"/>
          <w:color w:val="000000"/>
          <w:kern w:val="0"/>
          <w:sz w:val="32"/>
          <w:szCs w:val="32"/>
          <w:lang w:eastAsia="zh-CN"/>
        </w:rPr>
        <w:t>定期开展政府信息公开培训学习，与年度</w:t>
      </w:r>
      <w:r>
        <w:rPr>
          <w:rFonts w:hint="eastAsia" w:ascii="Times New Roman" w:hAnsi="Times New Roman" w:eastAsia="仿宋_GB2312" w:cs="Times New Roman"/>
          <w:color w:val="000000"/>
          <w:kern w:val="0"/>
          <w:sz w:val="32"/>
          <w:szCs w:val="32"/>
          <w:lang w:val="en-US" w:eastAsia="zh-CN"/>
        </w:rPr>
        <w:t>内部</w:t>
      </w:r>
      <w:r>
        <w:rPr>
          <w:rFonts w:hint="default" w:ascii="Times New Roman" w:hAnsi="Times New Roman" w:eastAsia="仿宋_GB2312" w:cs="Times New Roman"/>
          <w:color w:val="000000"/>
          <w:kern w:val="0"/>
          <w:sz w:val="32"/>
          <w:szCs w:val="32"/>
          <w:lang w:eastAsia="zh-CN"/>
        </w:rPr>
        <w:t>工作考核钩挂，正向激励信息公开工作有序开展。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Fonts w:ascii="宋体" w:eastAsia="宋体" w:cs="宋体"/>
          <w:snapToGrid/>
          <w:color w:val="333333"/>
          <w:sz w:val="24"/>
          <w:szCs w:val="24"/>
        </w:rPr>
      </w:pPr>
      <w:r>
        <w:rPr>
          <w:rFonts w:hint="default" w:ascii="Times New Roman" w:hAnsi="Times New Roman" w:eastAsia="仿宋_GB2312" w:cs="Times New Roman"/>
          <w:color w:val="FFC000"/>
          <w:kern w:val="0"/>
          <w:sz w:val="32"/>
          <w:szCs w:val="32"/>
          <w:lang w:eastAsia="zh-CN"/>
        </w:rPr>
        <w:t> </w:t>
      </w:r>
      <w:r>
        <w:rPr>
          <w:rFonts w:hint="default" w:ascii="Times New Roman" w:hAnsi="Times New Roman" w:eastAsia="仿宋_GB2312" w:cs="Times New Roman"/>
          <w:color w:val="000000"/>
          <w:kern w:val="0"/>
          <w:sz w:val="32"/>
          <w:szCs w:val="32"/>
          <w:lang w:val="zh-CN" w:eastAsia="zh-CN"/>
        </w:rPr>
        <w:t>20</w:t>
      </w:r>
      <w:r>
        <w:rPr>
          <w:rFonts w:hint="eastAsia" w:ascii="Times New Roman" w:hAnsi="Times New Roman" w:eastAsia="仿宋_GB2312" w:cs="Times New Roman"/>
          <w:color w:val="000000"/>
          <w:kern w:val="0"/>
          <w:sz w:val="32"/>
          <w:szCs w:val="32"/>
          <w:lang w:val="en-US" w:eastAsia="zh-CN"/>
        </w:rPr>
        <w:t>21</w:t>
      </w:r>
      <w:r>
        <w:rPr>
          <w:rFonts w:hint="default" w:ascii="Times New Roman" w:hAnsi="Times New Roman" w:eastAsia="仿宋_GB2312" w:cs="Times New Roman"/>
          <w:color w:val="000000"/>
          <w:kern w:val="0"/>
          <w:sz w:val="32"/>
          <w:szCs w:val="32"/>
          <w:lang w:val="zh-CN" w:eastAsia="zh-CN"/>
        </w:rPr>
        <w:t>年</w:t>
      </w:r>
      <w:r>
        <w:rPr>
          <w:rFonts w:hint="eastAsia" w:ascii="Times New Roman" w:hAnsi="Times New Roman" w:eastAsia="仿宋_GB2312" w:cs="Times New Roman"/>
          <w:color w:val="000000"/>
          <w:kern w:val="0"/>
          <w:sz w:val="32"/>
          <w:szCs w:val="32"/>
          <w:lang w:val="en-US" w:eastAsia="zh-CN"/>
        </w:rPr>
        <w:t>未收到政府信息公开申请事项。</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80"/>
        <w:jc w:val="both"/>
        <w:textAlignment w:val="auto"/>
        <w:rPr>
          <w:rFonts w:hint="eastAsia" w:ascii="黑体" w:eastAsia="黑体" w:cs="宋体"/>
          <w:b/>
          <w:bCs/>
          <w:snapToGrid/>
          <w:color w:val="333333"/>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2"/>
        <w:jc w:val="both"/>
        <w:textAlignment w:val="auto"/>
        <w:rPr>
          <w:rFonts w:hint="eastAsia" w:ascii="黑体" w:eastAsia="黑体" w:cs="宋体"/>
          <w:b w:val="0"/>
          <w:bCs w:val="0"/>
          <w:snapToGrid/>
          <w:color w:val="333333"/>
          <w:szCs w:val="32"/>
        </w:rPr>
      </w:pPr>
      <w:r>
        <w:rPr>
          <w:rFonts w:hint="eastAsia" w:ascii="黑体" w:eastAsia="黑体" w:cs="宋体"/>
          <w:b w:val="0"/>
          <w:bCs w:val="0"/>
          <w:snapToGrid/>
          <w:color w:val="333333"/>
          <w:szCs w:val="32"/>
        </w:rPr>
        <w:t>二、主动公开政府信息情况</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82"/>
        <w:jc w:val="both"/>
        <w:textAlignment w:val="auto"/>
        <w:rPr>
          <w:rFonts w:hint="eastAsia" w:ascii="黑体" w:eastAsia="黑体" w:cs="宋体"/>
          <w:b/>
          <w:bCs/>
          <w:snapToGrid/>
          <w:color w:val="333333"/>
          <w:szCs w:val="32"/>
        </w:rPr>
      </w:pP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本年</w:t>
            </w:r>
            <w:r>
              <w:rPr>
                <w:rFonts w:ascii="宋体" w:eastAsia="宋体" w:cs="Calibri"/>
                <w:snapToGrid/>
                <w:sz w:val="20"/>
              </w:rPr>
              <w:t>制</w:t>
            </w:r>
            <w:r>
              <w:rPr>
                <w:rFonts w:hint="eastAsia" w:ascii="宋体" w:eastAsia="宋体" w:cs="宋体"/>
                <w:snapToGrid/>
                <w:sz w:val="20"/>
              </w:rPr>
              <w:t>发件</w:t>
            </w:r>
            <w:r>
              <w:rPr>
                <w:rFonts w:ascii="宋体" w:eastAsia="宋体" w:cs="Calibri"/>
                <w:snapToGrid/>
                <w:sz w:val="20"/>
              </w:rPr>
              <w:t>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现行有效件</w:t>
            </w:r>
            <w:r>
              <w:rPr>
                <w:rFonts w:ascii="宋体" w:eastAsia="宋体" w:cs="Calibri"/>
                <w:snapToGrid/>
                <w:sz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hint="default" w:ascii="宋体" w:eastAsia="宋体" w:cs="宋体"/>
                <w:snapToGrid/>
                <w:sz w:val="24"/>
                <w:szCs w:val="24"/>
                <w:lang w:val="en-US" w:eastAsia="zh-CN"/>
              </w:rPr>
            </w:pPr>
            <w:r>
              <w:rPr>
                <w:rFonts w:hint="eastAsia" w:ascii="宋体" w:eastAsia="宋体" w:cs="宋体"/>
                <w:snapToGrid/>
                <w:color w:val="000000"/>
                <w:sz w:val="20"/>
                <w:lang w:val="en-US" w:eastAsia="zh-CN"/>
              </w:rPr>
              <w:t>3</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hint="eastAsia" w:ascii="宋体" w:eastAsia="宋体" w:cs="宋体"/>
                <w:snapToGrid/>
                <w:sz w:val="24"/>
                <w:szCs w:val="24"/>
                <w:lang w:val="en-US" w:eastAsia="zh-CN"/>
              </w:rPr>
            </w:pP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hint="default" w:ascii="宋体" w:eastAsia="宋体" w:cs="宋体"/>
                <w:snapToGrid/>
                <w:sz w:val="24"/>
                <w:szCs w:val="24"/>
                <w:lang w:val="en-US" w:eastAsia="zh-CN"/>
              </w:rPr>
            </w:pPr>
            <w:r>
              <w:rPr>
                <w:rFonts w:hint="eastAsia" w:ascii="宋体" w:eastAsia="宋体" w:cs="宋体"/>
                <w:snapToGrid/>
                <w:sz w:val="24"/>
                <w:szCs w:val="24"/>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hint="default" w:ascii="宋体" w:eastAsia="宋体" w:cs="宋体"/>
                <w:snapToGrid/>
                <w:sz w:val="24"/>
                <w:szCs w:val="24"/>
                <w:lang w:val="en-US" w:eastAsia="zh-CN"/>
              </w:rPr>
            </w:pPr>
            <w:r>
              <w:rPr>
                <w:rFonts w:hint="eastAsia" w:ascii="宋体" w:eastAsia="宋体" w:cs="宋体"/>
                <w:snapToGrid/>
                <w:color w:val="000000"/>
                <w:sz w:val="20"/>
                <w:lang w:val="en-US" w:eastAsia="zh-CN"/>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p>
        </w:tc>
      </w:tr>
    </w:tbl>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2"/>
        <w:jc w:val="both"/>
        <w:textAlignment w:val="auto"/>
        <w:rPr>
          <w:rFonts w:ascii="黑体" w:eastAsia="黑体" w:cs="宋体"/>
          <w:b w:val="0"/>
          <w:bCs w:val="0"/>
          <w:snapToGrid/>
          <w:color w:val="333333"/>
          <w:szCs w:val="32"/>
        </w:rPr>
      </w:pPr>
      <w:r>
        <w:rPr>
          <w:rFonts w:hint="eastAsia" w:ascii="黑体" w:eastAsia="黑体" w:cs="宋体"/>
          <w:b w:val="0"/>
          <w:bCs w:val="0"/>
          <w:snapToGrid/>
          <w:color w:val="333333"/>
          <w:szCs w:val="32"/>
        </w:rPr>
        <w:t>三、收到和处理政府信息公开申请情况</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80"/>
        <w:jc w:val="both"/>
        <w:textAlignment w:val="auto"/>
        <w:rPr>
          <w:rFonts w:ascii="宋体" w:eastAsia="宋体" w:cs="宋体"/>
          <w:snapToGrid/>
          <w:color w:val="333333"/>
          <w:sz w:val="24"/>
          <w:szCs w:val="24"/>
        </w:rPr>
      </w:pPr>
    </w:p>
    <w:tbl>
      <w:tblPr>
        <w:tblStyle w:val="4"/>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8"/>
        <w:gridCol w:w="943"/>
        <w:gridCol w:w="3221"/>
        <w:gridCol w:w="770"/>
        <w:gridCol w:w="606"/>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楷体" w:eastAsia="楷体" w:cs="宋体"/>
                <w:snapToGrid/>
                <w:sz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770"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自然人</w:t>
            </w:r>
          </w:p>
        </w:tc>
        <w:tc>
          <w:tcPr>
            <w:tcW w:w="3358"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法人或其他组织</w:t>
            </w:r>
          </w:p>
        </w:tc>
        <w:tc>
          <w:tcPr>
            <w:tcW w:w="688" w:type="dxa"/>
            <w:vMerge w:val="restart"/>
            <w:tcBorders>
              <w:top w:val="single" w:color="auto" w:sz="8" w:space="0"/>
              <w:left w:val="nil"/>
              <w:bottom w:val="in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770" w:type="dxa"/>
            <w:vMerge w:val="continue"/>
            <w:tcBorders>
              <w:top w:val="nil"/>
              <w:left w:val="nil"/>
              <w:bottom w:val="single"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60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商业</w:t>
            </w:r>
          </w:p>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企业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科研</w:t>
            </w:r>
          </w:p>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社会公益组织</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法律服务机构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其他</w:t>
            </w:r>
          </w:p>
        </w:tc>
        <w:tc>
          <w:tcPr>
            <w:vMerge w:val="continue"/>
            <w:tcBorders>
              <w:top w:val="single" w:color="auto" w:sz="8" w:space="0"/>
              <w:left w:val="nil"/>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一、本年新收政府信息公开申请数量</w:t>
            </w:r>
          </w:p>
        </w:tc>
        <w:tc>
          <w:tcPr>
            <w:tcW w:w="77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二、上年结转政府信息公开申请数量</w:t>
            </w:r>
          </w:p>
        </w:tc>
        <w:tc>
          <w:tcPr>
            <w:tcW w:w="77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三、本年度办理结果</w:t>
            </w:r>
          </w:p>
        </w:tc>
        <w:tc>
          <w:tcPr>
            <w:tcW w:w="4164"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（一）予以公开</w:t>
            </w:r>
          </w:p>
        </w:tc>
        <w:tc>
          <w:tcPr>
            <w:tcW w:w="77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single" w:color="auto" w:sz="8" w:space="0"/>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4164"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（二）部分公开</w:t>
            </w:r>
            <w:r>
              <w:rPr>
                <w:rFonts w:hint="eastAsia" w:ascii="楷体" w:eastAsia="楷体" w:cs="宋体"/>
                <w:snapToGrid/>
                <w:sz w:val="20"/>
              </w:rPr>
              <w:t>（区分处理的，只计这一情形，不计其他情形）</w:t>
            </w:r>
          </w:p>
        </w:tc>
        <w:tc>
          <w:tcPr>
            <w:tcW w:w="77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943" w:type="dxa"/>
            <w:vMerge w:val="restart"/>
            <w:tcBorders>
              <w:top w:val="nil"/>
              <w:left w:val="nil"/>
              <w:bottom w:val="in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（三）不予公开</w:t>
            </w:r>
          </w:p>
        </w:tc>
        <w:tc>
          <w:tcPr>
            <w:tcW w:w="3221"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1.属于国家秘密</w:t>
            </w:r>
          </w:p>
        </w:tc>
        <w:tc>
          <w:tcPr>
            <w:tcW w:w="770"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single" w:color="auto" w:sz="8" w:space="0"/>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nil"/>
              <w:left w:val="nil"/>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3221"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2.其他法律行政法规禁止公开</w:t>
            </w:r>
          </w:p>
        </w:tc>
        <w:tc>
          <w:tcPr>
            <w:tcW w:w="770"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nil"/>
              <w:left w:val="nil"/>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3221"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3.危及“三安全一稳定”</w:t>
            </w:r>
          </w:p>
        </w:tc>
        <w:tc>
          <w:tcPr>
            <w:tcW w:w="770"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nil"/>
              <w:left w:val="nil"/>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3221"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4.保护第三方合法权益</w:t>
            </w:r>
          </w:p>
        </w:tc>
        <w:tc>
          <w:tcPr>
            <w:tcW w:w="770"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nil"/>
              <w:left w:val="nil"/>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3221"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5.属于三类内部事务信息</w:t>
            </w:r>
          </w:p>
        </w:tc>
        <w:tc>
          <w:tcPr>
            <w:tcW w:w="770"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nil"/>
              <w:left w:val="nil"/>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3221"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6.属于四类过程性信息</w:t>
            </w:r>
          </w:p>
        </w:tc>
        <w:tc>
          <w:tcPr>
            <w:tcW w:w="770"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nil"/>
              <w:left w:val="nil"/>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3221"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7.属于行政执法案卷</w:t>
            </w:r>
          </w:p>
        </w:tc>
        <w:tc>
          <w:tcPr>
            <w:tcW w:w="770"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nil"/>
              <w:left w:val="nil"/>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3221"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8.属于行政查询事项</w:t>
            </w:r>
          </w:p>
        </w:tc>
        <w:tc>
          <w:tcPr>
            <w:tcW w:w="770"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943" w:type="dxa"/>
            <w:vMerge w:val="restart"/>
            <w:tcBorders>
              <w:top w:val="nil"/>
              <w:left w:val="nil"/>
              <w:bottom w:val="in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（四）无法提供</w:t>
            </w:r>
          </w:p>
        </w:tc>
        <w:tc>
          <w:tcPr>
            <w:tcW w:w="3221"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1.本机关不掌握相关政府信息</w:t>
            </w:r>
          </w:p>
        </w:tc>
        <w:tc>
          <w:tcPr>
            <w:tcW w:w="770"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nil"/>
              <w:left w:val="nil"/>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3221"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2.没有现成信息需要另行制作</w:t>
            </w:r>
          </w:p>
        </w:tc>
        <w:tc>
          <w:tcPr>
            <w:tcW w:w="770"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nil"/>
              <w:left w:val="nil"/>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3221"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3.补正后申请内容仍不明确</w:t>
            </w:r>
          </w:p>
        </w:tc>
        <w:tc>
          <w:tcPr>
            <w:tcW w:w="770"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943" w:type="dxa"/>
            <w:vMerge w:val="restart"/>
            <w:tcBorders>
              <w:top w:val="nil"/>
              <w:left w:val="nil"/>
              <w:bottom w:val="in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（五）不予处理</w:t>
            </w:r>
          </w:p>
        </w:tc>
        <w:tc>
          <w:tcPr>
            <w:tcW w:w="3221"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1.信访举报投诉类申请</w:t>
            </w:r>
          </w:p>
        </w:tc>
        <w:tc>
          <w:tcPr>
            <w:tcW w:w="770"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nil"/>
              <w:left w:val="nil"/>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3221"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2.重复申请</w:t>
            </w:r>
          </w:p>
        </w:tc>
        <w:tc>
          <w:tcPr>
            <w:tcW w:w="770"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nil"/>
              <w:left w:val="nil"/>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3221"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3.要求提供公开出版物</w:t>
            </w:r>
          </w:p>
        </w:tc>
        <w:tc>
          <w:tcPr>
            <w:tcW w:w="770"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nil"/>
              <w:left w:val="nil"/>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3221"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4.无正当理由大量反复申请</w:t>
            </w:r>
          </w:p>
        </w:tc>
        <w:tc>
          <w:tcPr>
            <w:tcW w:w="770"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9" w:hRule="atLeast"/>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nil"/>
              <w:left w:val="nil"/>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3221" w:type="dxa"/>
            <w:tcBorders>
              <w:top w:val="nil"/>
              <w:left w:val="nil"/>
              <w:bottom w:val="in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5.要求行政机关确认或重新出具已获取信息</w:t>
            </w:r>
          </w:p>
        </w:tc>
        <w:tc>
          <w:tcPr>
            <w:tcW w:w="770" w:type="dxa"/>
            <w:tcBorders>
              <w:top w:val="nil"/>
              <w:left w:val="nil"/>
              <w:bottom w:val="inset"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inset"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inset"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inset"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inset"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inset"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inset"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943" w:type="dxa"/>
            <w:vMerge w:val="restart"/>
            <w:tcBorders>
              <w:top w:val="inset" w:color="auto" w:sz="8" w:space="0"/>
              <w:left w:val="nil"/>
              <w:bottom w:val="in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（六）其他处理</w:t>
            </w:r>
          </w:p>
        </w:tc>
        <w:tc>
          <w:tcPr>
            <w:tcW w:w="3221"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1.申请人无正当理由逾期不补正、行政机关不再处理其政府信息公开申请</w:t>
            </w:r>
          </w:p>
        </w:tc>
        <w:tc>
          <w:tcPr>
            <w:tcW w:w="77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inset" w:color="auto" w:sz="8" w:space="0"/>
              <w:left w:val="nil"/>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3221"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2.申请人逾期未按收费通知要求缴纳费用、行政机关不再处理其政府信息公开申请</w:t>
            </w:r>
          </w:p>
        </w:tc>
        <w:tc>
          <w:tcPr>
            <w:tcW w:w="77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inset" w:color="auto" w:sz="8" w:space="0"/>
              <w:left w:val="nil"/>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3221"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3.其他</w:t>
            </w:r>
          </w:p>
        </w:tc>
        <w:tc>
          <w:tcPr>
            <w:tcW w:w="77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4164"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（七）总计</w:t>
            </w:r>
          </w:p>
        </w:tc>
        <w:tc>
          <w:tcPr>
            <w:tcW w:w="77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四、结转下年度继续办理</w:t>
            </w:r>
          </w:p>
        </w:tc>
        <w:tc>
          <w:tcPr>
            <w:tcW w:w="770"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0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ascii="Calibri" w:hAnsi="Calibri" w:eastAsia="宋体" w:cs="Calibri"/>
                <w:snapToGrid/>
                <w:sz w:val="20"/>
              </w:rPr>
              <w:t> </w:t>
            </w:r>
          </w:p>
        </w:tc>
        <w:tc>
          <w:tcPr>
            <w:tcW w:w="688"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p>
        </w:tc>
      </w:tr>
    </w:tbl>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0"/>
        <w:jc w:val="both"/>
        <w:textAlignment w:val="auto"/>
        <w:rPr>
          <w:rFonts w:ascii="宋体" w:eastAsia="宋体" w:cs="宋体"/>
          <w:snapToGrid/>
          <w:color w:val="333333"/>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80"/>
        <w:jc w:val="both"/>
        <w:textAlignment w:val="auto"/>
        <w:rPr>
          <w:rFonts w:ascii="黑体" w:eastAsia="黑体" w:cs="宋体"/>
          <w:b/>
          <w:bCs/>
          <w:snapToGrid/>
          <w:color w:val="333333"/>
          <w:szCs w:val="32"/>
        </w:rPr>
      </w:pP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80"/>
        <w:jc w:val="both"/>
        <w:textAlignment w:val="auto"/>
        <w:rPr>
          <w:rFonts w:hint="eastAsia" w:ascii="黑体" w:eastAsia="黑体" w:cs="宋体"/>
          <w:b/>
          <w:bCs/>
          <w:snapToGrid/>
          <w:color w:val="333333"/>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firstLine="0" w:firstLineChars="0"/>
        <w:jc w:val="both"/>
        <w:textAlignment w:val="auto"/>
        <w:rPr>
          <w:rFonts w:hint="eastAsia" w:ascii="黑体" w:eastAsia="黑体" w:cs="宋体"/>
          <w:b/>
          <w:bCs/>
          <w:snapToGrid/>
          <w:color w:val="333333"/>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2"/>
        <w:jc w:val="both"/>
        <w:textAlignment w:val="auto"/>
        <w:rPr>
          <w:rFonts w:ascii="黑体" w:eastAsia="黑体" w:cs="宋体"/>
          <w:b w:val="0"/>
          <w:bCs w:val="0"/>
          <w:snapToGrid/>
          <w:color w:val="333333"/>
          <w:szCs w:val="32"/>
        </w:rPr>
      </w:pPr>
      <w:r>
        <w:rPr>
          <w:rFonts w:hint="eastAsia" w:ascii="黑体" w:eastAsia="黑体" w:cs="宋体"/>
          <w:b w:val="0"/>
          <w:bCs w:val="0"/>
          <w:snapToGrid/>
          <w:color w:val="333333"/>
          <w:szCs w:val="32"/>
        </w:rPr>
        <w:t>四、政府信息公开行政复议、行政诉讼情况</w:t>
      </w: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0"/>
        <w:jc w:val="both"/>
        <w:textAlignment w:val="auto"/>
        <w:rPr>
          <w:rFonts w:ascii="宋体" w:eastAsia="宋体" w:cs="宋体"/>
          <w:snapToGrid/>
          <w:color w:val="333333"/>
          <w:sz w:val="24"/>
          <w:szCs w:val="24"/>
        </w:rPr>
      </w:pPr>
    </w:p>
    <w:tbl>
      <w:tblPr>
        <w:tblStyle w:val="4"/>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结果</w:t>
            </w:r>
            <w:r>
              <w:rPr>
                <w:rFonts w:hint="eastAsia" w:ascii="宋体" w:eastAsia="宋体" w:cs="宋体"/>
                <w:snapToGrid/>
                <w:sz w:val="20"/>
              </w:rPr>
              <w:br w:type="textWrapping"/>
            </w:r>
            <w:r>
              <w:rPr>
                <w:rFonts w:hint="eastAsia" w:asci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其他</w:t>
            </w:r>
            <w:r>
              <w:rPr>
                <w:rFonts w:hint="eastAsia" w:ascii="宋体" w:eastAsia="宋体" w:cs="宋体"/>
                <w:snapToGrid/>
                <w:sz w:val="20"/>
              </w:rPr>
              <w:br w:type="textWrapping"/>
            </w:r>
            <w:r>
              <w:rPr>
                <w:rFonts w:hint="eastAsia" w:asci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尚未</w:t>
            </w:r>
            <w:r>
              <w:rPr>
                <w:rFonts w:hint="eastAsia" w:ascii="宋体" w:eastAsia="宋体" w:cs="宋体"/>
                <w:snapToGrid/>
                <w:sz w:val="20"/>
              </w:rPr>
              <w:br w:type="textWrapping"/>
            </w:r>
            <w:r>
              <w:rPr>
                <w:rFonts w:hint="eastAsia" w:asci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nil"/>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nil"/>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pacing w:line="300" w:lineRule="exact"/>
              <w:jc w:val="both"/>
              <w:textAlignment w:val="auto"/>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结果</w:t>
            </w:r>
            <w:r>
              <w:rPr>
                <w:rFonts w:hint="eastAsia" w:ascii="宋体" w:eastAsia="宋体" w:cs="宋体"/>
                <w:snapToGrid/>
                <w:sz w:val="20"/>
              </w:rPr>
              <w:br w:type="textWrapping"/>
            </w:r>
            <w:r>
              <w:rPr>
                <w:rFonts w:hint="eastAsia" w:asci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结果</w:t>
            </w:r>
            <w:r>
              <w:rPr>
                <w:rFonts w:hint="eastAsia" w:ascii="宋体" w:eastAsia="宋体" w:cs="宋体"/>
                <w:snapToGrid/>
                <w:sz w:val="20"/>
              </w:rPr>
              <w:br w:type="textWrapping"/>
            </w:r>
            <w:r>
              <w:rPr>
                <w:rFonts w:hint="eastAsia" w:asci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其他</w:t>
            </w:r>
            <w:r>
              <w:rPr>
                <w:rFonts w:hint="eastAsia" w:ascii="宋体" w:eastAsia="宋体" w:cs="宋体"/>
                <w:snapToGrid/>
                <w:sz w:val="20"/>
              </w:rPr>
              <w:br w:type="textWrapping"/>
            </w:r>
            <w:r>
              <w:rPr>
                <w:rFonts w:hint="eastAsia" w:asci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bookmarkStart w:id="0" w:name="_GoBack"/>
            <w:r>
              <w:rPr>
                <w:rFonts w:hint="eastAsia" w:ascii="宋体" w:eastAsia="宋体" w:cs="宋体"/>
                <w:snapToGrid/>
                <w:sz w:val="20"/>
              </w:rPr>
              <w:t>尚未</w:t>
            </w:r>
            <w:bookmarkEnd w:id="0"/>
            <w:r>
              <w:rPr>
                <w:rFonts w:hint="eastAsia" w:ascii="宋体" w:eastAsia="宋体" w:cs="宋体"/>
                <w:snapToGrid/>
                <w:sz w:val="20"/>
              </w:rPr>
              <w:br w:type="textWrapping"/>
            </w:r>
            <w:r>
              <w:rPr>
                <w:rFonts w:hint="eastAsia" w:asci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结果</w:t>
            </w:r>
            <w:r>
              <w:rPr>
                <w:rFonts w:hint="eastAsia" w:ascii="宋体" w:eastAsia="宋体" w:cs="宋体"/>
                <w:snapToGrid/>
                <w:sz w:val="20"/>
              </w:rPr>
              <w:br w:type="textWrapping"/>
            </w:r>
            <w:r>
              <w:rPr>
                <w:rFonts w:hint="eastAsia" w:asci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结果</w:t>
            </w:r>
            <w:r>
              <w:rPr>
                <w:rFonts w:hint="eastAsia" w:ascii="宋体" w:eastAsia="宋体" w:cs="宋体"/>
                <w:snapToGrid/>
                <w:sz w:val="20"/>
              </w:rPr>
              <w:br w:type="textWrapping"/>
            </w:r>
            <w:r>
              <w:rPr>
                <w:rFonts w:hint="eastAsia" w:asci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其他</w:t>
            </w:r>
            <w:r>
              <w:rPr>
                <w:rFonts w:hint="eastAsia" w:ascii="宋体" w:eastAsia="宋体" w:cs="宋体"/>
                <w:snapToGrid/>
                <w:color w:val="000000"/>
                <w:sz w:val="20"/>
              </w:rPr>
              <w:br w:type="textWrapping"/>
            </w:r>
            <w:r>
              <w:rPr>
                <w:rFonts w:hint="eastAsia" w:asci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尚未</w:t>
            </w:r>
            <w:r>
              <w:rPr>
                <w:rFonts w:hint="eastAsia" w:ascii="宋体" w:eastAsia="宋体" w:cs="宋体"/>
                <w:snapToGrid/>
                <w:sz w:val="20"/>
              </w:rPr>
              <w:br w:type="textWrapping"/>
            </w:r>
            <w:r>
              <w:rPr>
                <w:rFonts w:hint="eastAsia" w:asci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color w:val="000000"/>
                <w:sz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 </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 </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 </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 </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 </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 </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 </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 </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 </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 </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 </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 </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 </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r>
              <w:rPr>
                <w:rFonts w:hint="eastAsia" w:ascii="宋体" w:eastAsia="宋体" w:cs="宋体"/>
                <w:snapToGrid/>
                <w:sz w:val="20"/>
              </w:rPr>
              <w:t> </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p>
        </w:tc>
      </w:tr>
    </w:tbl>
    <w:p>
      <w:pPr>
        <w:keepNext w:val="0"/>
        <w:keepLines w:val="0"/>
        <w:pageBreakBefore w:val="0"/>
        <w:widowControl/>
        <w:kinsoku/>
        <w:wordWrap/>
        <w:overflowPunct/>
        <w:topLinePunct w:val="0"/>
        <w:autoSpaceDE/>
        <w:autoSpaceDN/>
        <w:bidi w:val="0"/>
        <w:adjustRightInd/>
        <w:snapToGrid/>
        <w:spacing w:line="300" w:lineRule="exact"/>
        <w:ind w:firstLine="0"/>
        <w:jc w:val="both"/>
        <w:textAlignment w:val="auto"/>
        <w:rPr>
          <w:rFonts w:ascii="宋体" w:eastAsia="宋体" w:cs="宋体"/>
          <w:snapToGrid/>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both"/>
        <w:textAlignment w:val="auto"/>
        <w:rPr>
          <w:rFonts w:hint="eastAsia" w:ascii="黑体" w:eastAsia="黑体" w:cs="宋体"/>
          <w:b w:val="0"/>
          <w:bCs w:val="0"/>
          <w:snapToGrid/>
          <w:color w:val="333333"/>
          <w:szCs w:val="32"/>
        </w:rPr>
      </w:pPr>
      <w:r>
        <w:rPr>
          <w:rFonts w:hint="eastAsia" w:ascii="黑体" w:eastAsia="黑体" w:cs="宋体"/>
          <w:b w:val="0"/>
          <w:bCs w:val="0"/>
          <w:snapToGrid/>
          <w:color w:val="333333"/>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兵团财政局政府信息公开工作有序开展，但在健全政府信息公开制度，规范信息公开格式和范围，提高主动公开的意识等方面，还需要在今后工作中加以改进。</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今年，兵团财政局将严格按照政府信息公开条例的规定，抓好以下三个方面工作：</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完善兵团财政局政府信息公开工作制度，进一步规范信息公开工作；</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密切关注各类信息平台，切实将社会关注度较高、涉及职工群众切身利益的问题作为信息公开的重点内容，确保反馈信息及时，政策把握准确；</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建立政府信息公开台账制度，及时归档发布的行政规范性文件、行政处罚、行政复议等各类事项。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both"/>
        <w:textAlignment w:val="auto"/>
        <w:rPr>
          <w:rFonts w:hint="eastAsia" w:ascii="黑体" w:hAnsi="黑体" w:eastAsia="黑体" w:cs="黑体"/>
          <w:b w:val="0"/>
          <w:bCs w:val="0"/>
          <w:snapToGrid/>
          <w:color w:val="333333"/>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napToGrid/>
          <w:color w:val="333333"/>
          <w:szCs w:val="32"/>
        </w:rPr>
        <w:t>、其他需要报告的事项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both"/>
        <w:textAlignment w:val="auto"/>
      </w:pPr>
      <w:r>
        <w:rPr>
          <w:rFonts w:hint="eastAsia" w:ascii="仿宋_GB2312" w:eastAsia="仿宋_GB2312" w:cs="宋体"/>
          <w:snapToGrid/>
          <w:color w:val="333333"/>
          <w:szCs w:val="32"/>
        </w:rPr>
        <w:t>（</w:t>
      </w:r>
      <w:r>
        <w:rPr>
          <w:rFonts w:hint="eastAsia" w:ascii="仿宋_GB2312" w:eastAsia="仿宋_GB2312" w:cs="宋体"/>
          <w:snapToGrid/>
          <w:color w:val="333333"/>
          <w:szCs w:val="32"/>
          <w:lang w:val="en-US" w:eastAsia="zh-CN"/>
        </w:rPr>
        <w:t>无</w:t>
      </w:r>
      <w:r>
        <w:rPr>
          <w:rFonts w:hint="eastAsia" w:ascii="仿宋_GB2312" w:eastAsia="仿宋_GB2312" w:cs="宋体"/>
          <w:snapToGrid/>
          <w:color w:val="333333"/>
          <w:szCs w:val="32"/>
        </w:rPr>
        <w:t>）</w:t>
      </w:r>
    </w:p>
    <w:p>
      <w:pPr>
        <w:keepNext w:val="0"/>
        <w:keepLines w:val="0"/>
        <w:pageBreakBefore w:val="0"/>
        <w:kinsoku/>
        <w:wordWrap/>
        <w:overflowPunct/>
        <w:topLinePunct w:val="0"/>
        <w:bidi w:val="0"/>
        <w:adjustRightInd/>
        <w:spacing w:line="600" w:lineRule="exact"/>
        <w:jc w:val="both"/>
        <w:textAlignment w:val="auto"/>
      </w:pPr>
    </w:p>
    <w:p>
      <w:pPr>
        <w:keepNext w:val="0"/>
        <w:keepLines w:val="0"/>
        <w:pageBreakBefore w:val="0"/>
        <w:kinsoku/>
        <w:wordWrap/>
        <w:overflowPunct/>
        <w:topLinePunct w:val="0"/>
        <w:bidi w:val="0"/>
        <w:adjustRightInd/>
        <w:spacing w:line="600" w:lineRule="exact"/>
        <w:jc w:val="both"/>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213BE"/>
    <w:multiLevelType w:val="singleLevel"/>
    <w:tmpl w:val="5C2213BE"/>
    <w:lvl w:ilvl="0" w:tentative="0">
      <w:start w:val="1"/>
      <w:numFmt w:val="chineseCounting"/>
      <w:pStyle w:val="8"/>
      <w:suff w:val="nothing"/>
      <w:lvlText w:val="（%1）"/>
      <w:lvlJc w:val="left"/>
      <w:pPr>
        <w:ind w:left="-13"/>
      </w:pPr>
      <w:rPr>
        <w:rFonts w:hint="eastAsia" w:cs="Times New Roman"/>
        <w:color w:val="000000" w:themeColor="text1"/>
        <w14:textFill>
          <w14:solidFill>
            <w14:schemeClr w14:val="tx1"/>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A3B78"/>
    <w:rsid w:val="08FF12ED"/>
    <w:rsid w:val="10971566"/>
    <w:rsid w:val="1D6A3B78"/>
    <w:rsid w:val="219E7E16"/>
    <w:rsid w:val="34E51F0D"/>
    <w:rsid w:val="36BD6F86"/>
    <w:rsid w:val="3D6836A4"/>
    <w:rsid w:val="483E1AA5"/>
    <w:rsid w:val="5B286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样式1"/>
    <w:basedOn w:val="1"/>
    <w:uiPriority w:val="0"/>
    <w:pPr>
      <w:pBdr>
        <w:top w:val="none" w:color="auto" w:sz="0" w:space="0"/>
        <w:left w:val="none" w:color="auto" w:sz="0" w:space="0"/>
        <w:bottom w:val="none" w:color="auto" w:sz="0" w:space="0"/>
        <w:right w:val="none" w:color="auto" w:sz="0" w:space="0"/>
        <w:between w:val="none" w:color="auto" w:sz="0" w:space="0"/>
      </w:pBdr>
      <w:spacing w:line="560" w:lineRule="exact"/>
      <w:jc w:val="center"/>
    </w:pPr>
    <w:rPr>
      <w:rFonts w:hint="eastAsia" w:ascii="方正小标宋简体" w:hAnsi="方正小标宋简体" w:eastAsia="方正小标宋简体" w:cs="方正小标宋简体"/>
      <w:sz w:val="44"/>
      <w:szCs w:val="44"/>
    </w:rPr>
  </w:style>
  <w:style w:type="paragraph" w:customStyle="1" w:styleId="7">
    <w:name w:val="样式2"/>
    <w:basedOn w:val="1"/>
    <w:uiPriority w:val="0"/>
    <w:pPr>
      <w:pBdr>
        <w:top w:val="none" w:color="auto" w:sz="0" w:space="0"/>
        <w:left w:val="none" w:color="auto" w:sz="0" w:space="0"/>
        <w:bottom w:val="none" w:color="auto" w:sz="0" w:space="0"/>
        <w:right w:val="none" w:color="auto" w:sz="0" w:space="0"/>
        <w:between w:val="none" w:color="auto" w:sz="0" w:space="0"/>
      </w:pBdr>
      <w:spacing w:line="560" w:lineRule="exact"/>
      <w:ind w:firstLine="640" w:firstLineChars="200"/>
    </w:pPr>
    <w:rPr>
      <w:rFonts w:hint="eastAsia" w:ascii="黑体" w:hAnsi="黑体" w:eastAsia="黑体" w:cs="黑体"/>
      <w:sz w:val="32"/>
      <w:szCs w:val="32"/>
    </w:rPr>
  </w:style>
  <w:style w:type="paragraph" w:customStyle="1" w:styleId="8">
    <w:name w:val="样式3"/>
    <w:basedOn w:val="1"/>
    <w:qFormat/>
    <w:uiPriority w:val="0"/>
    <w:pPr>
      <w:numPr>
        <w:ilvl w:val="0"/>
        <w:numId w:val="1"/>
      </w:numPr>
      <w:pBdr>
        <w:top w:val="none" w:color="auto" w:sz="0" w:space="0"/>
        <w:left w:val="none" w:color="auto" w:sz="0" w:space="0"/>
        <w:bottom w:val="none" w:color="auto" w:sz="0" w:space="0"/>
        <w:right w:val="none" w:color="auto" w:sz="0" w:space="0"/>
        <w:between w:val="none" w:color="auto" w:sz="0" w:space="0"/>
      </w:pBdr>
      <w:tabs>
        <w:tab w:val="left" w:pos="1440"/>
      </w:tabs>
      <w:spacing w:line="560" w:lineRule="exact"/>
      <w:ind w:left="-13" w:firstLine="643"/>
    </w:pPr>
    <w:rPr>
      <w:rFonts w:hint="eastAsia" w:ascii="仿宋_GB2312" w:hAnsi="仿宋_GB2312" w:eastAsia="仿宋_GB2312" w:cs="仿宋_GB2312"/>
      <w:sz w:val="32"/>
      <w:szCs w:val="32"/>
    </w:rPr>
  </w:style>
  <w:style w:type="paragraph" w:customStyle="1" w:styleId="9">
    <w:name w:val="标题1"/>
    <w:basedOn w:val="1"/>
    <w:next w:val="1"/>
    <w:qFormat/>
    <w:uiPriority w:val="0"/>
    <w:pPr>
      <w:tabs>
        <w:tab w:val="left" w:pos="9193"/>
        <w:tab w:val="left" w:pos="9827"/>
      </w:tabs>
      <w:spacing w:line="70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2022-01-25T09:19:00Z</dcterms:created>
  <dc:creator>Administrator</dc:creator>
  <cp:lastModifiedBy>Administrator</cp:lastModifiedBy>
  <cp:lastPrinted>2022-01-29T11:29:48Z</cp:lastPrinted>
  <dcterms:modified xsi:type="dcterms:W3CDTF">2022-01-29T11:34:23Z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